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673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67334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20" w:type="dxa"/>
            <w:vAlign w:val="bottom"/>
            <w:gridSpan w:val="4"/>
            <w:vMerge w:val="restart"/>
          </w:tcPr>
          <w:p>
            <w:pPr>
              <w:spacing w:after="0" w:line="238" w:lineRule="exact"/>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RUBINSTEIN JULIE</w:t>
              </w:r>
            </w:hyperlink>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Adaptive Biotechnologies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ADPT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gridSpan w:val="4"/>
            <w:vMerge w:val="continue"/>
          </w:tcPr>
          <w:p>
            <w:pPr>
              <w:spacing w:after="0"/>
              <w:rPr>
                <w:sz w:val="4"/>
                <w:szCs w:val="4"/>
                <w:color w:val="auto"/>
              </w:rPr>
            </w:pPr>
          </w:p>
        </w:tc>
        <w:tc>
          <w:tcPr>
            <w:tcW w:w="6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gridSpan w:val="4"/>
            <w:vMerge w:val="continue"/>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820" w:type="dxa"/>
            <w:vAlign w:val="bottom"/>
            <w:tcBorders>
              <w:bottom w:val="single" w:sz="8" w:color="0000EE"/>
            </w:tcBorders>
            <w:gridSpan w:val="4"/>
            <w:vMerge w:val="continue"/>
          </w:tcPr>
          <w:p>
            <w:pPr>
              <w:spacing w:after="0"/>
              <w:rPr>
                <w:sz w:val="4"/>
                <w:szCs w:val="4"/>
                <w:color w:val="auto"/>
              </w:rPr>
            </w:pPr>
          </w:p>
        </w:tc>
        <w:tc>
          <w:tcPr>
            <w:tcW w:w="620" w:type="dxa"/>
            <w:vAlign w:val="bottom"/>
            <w:vMerge w:val="restart"/>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3"/>
            <w:vMerge w:val="restart"/>
          </w:tcPr>
          <w:p>
            <w:pPr>
              <w:spacing w:after="0"/>
              <w:rPr>
                <w:sz w:val="20"/>
                <w:szCs w:val="20"/>
                <w:color w:val="auto"/>
              </w:rPr>
            </w:pPr>
            <w:r>
              <w:rPr>
                <w:rFonts w:ascii="Arial" w:cs="Arial" w:eastAsia="Arial" w:hAnsi="Arial"/>
                <w:sz w:val="13"/>
                <w:szCs w:val="13"/>
                <w:color w:val="auto"/>
                <w:w w:val="98"/>
              </w:rPr>
              <w:t>Foreign Trading Symbol</w:t>
            </w: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820" w:type="dxa"/>
            <w:vAlign w:val="bottom"/>
            <w:gridSpan w:val="4"/>
          </w:tcPr>
          <w:p>
            <w:pPr>
              <w:spacing w:after="0"/>
              <w:rPr>
                <w:sz w:val="3"/>
                <w:szCs w:val="3"/>
                <w:color w:val="auto"/>
              </w:rPr>
            </w:pPr>
          </w:p>
        </w:tc>
        <w:tc>
          <w:tcPr>
            <w:tcW w:w="62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ind w:left="120"/>
              <w:spacing w:after="0" w:line="135"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4"/>
                <w:szCs w:val="4"/>
                <w:color w:val="auto"/>
              </w:rPr>
            </w:pPr>
          </w:p>
        </w:tc>
        <w:tc>
          <w:tcPr>
            <w:tcW w:w="1480" w:type="dxa"/>
            <w:vAlign w:val="bottom"/>
            <w:gridSpan w:val="4"/>
            <w:vMerge w:val="restart"/>
          </w:tcPr>
          <w:p>
            <w:pPr>
              <w:ind w:left="22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7"/>
                <w:szCs w:val="17"/>
                <w:color w:val="auto"/>
              </w:rPr>
            </w:pPr>
          </w:p>
        </w:tc>
        <w:tc>
          <w:tcPr>
            <w:tcW w:w="1220" w:type="dxa"/>
            <w:vAlign w:val="bottom"/>
            <w:tcBorders>
              <w:top w:val="single" w:sz="8" w:color="EEEEEE"/>
              <w:bottom w:val="single" w:sz="8" w:color="EEEEEE"/>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Borders>
              <w:top w:val="single" w:sz="8" w:color="EEEE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top w:val="single" w:sz="8" w:color="EEEEEE"/>
            </w:tcBorders>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20" w:type="dxa"/>
            <w:vAlign w:val="bottom"/>
            <w:tcBorders>
              <w:top w:val="single" w:sz="8" w:color="EEEEEE"/>
            </w:tcBorders>
            <w:gridSpan w:val="3"/>
            <w:vMerge w:val="continue"/>
          </w:tcPr>
          <w:p>
            <w:pPr>
              <w:spacing w:after="0"/>
              <w:rPr>
                <w:sz w:val="5"/>
                <w:szCs w:val="5"/>
                <w:color w:val="auto"/>
              </w:rPr>
            </w:pPr>
          </w:p>
        </w:tc>
        <w:tc>
          <w:tcPr>
            <w:tcW w:w="1100" w:type="dxa"/>
            <w:vAlign w:val="bottom"/>
            <w:tcBorders>
              <w:top w:val="single" w:sz="8" w:color="EEEEEE"/>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2C2C2C"/>
            </w:tcBorders>
          </w:tcPr>
          <w:p>
            <w:pPr>
              <w:spacing w:after="0"/>
              <w:rPr>
                <w:sz w:val="5"/>
                <w:szCs w:val="5"/>
                <w:color w:val="auto"/>
              </w:rPr>
            </w:pPr>
          </w:p>
        </w:tc>
        <w:tc>
          <w:tcPr>
            <w:tcW w:w="286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Borders>
              <w:top w:val="single" w:sz="8" w:color="2C2C2C"/>
            </w:tcBorders>
          </w:tcPr>
          <w:p>
            <w:pPr>
              <w:spacing w:after="0"/>
              <w:rPr>
                <w:sz w:val="5"/>
                <w:szCs w:val="5"/>
                <w:color w:val="auto"/>
              </w:rPr>
            </w:pPr>
          </w:p>
        </w:tc>
        <w:tc>
          <w:tcPr>
            <w:tcW w:w="240" w:type="dxa"/>
            <w:vAlign w:val="bottom"/>
            <w:tcBorders>
              <w:top w:val="single" w:sz="8" w:color="2C2C2C"/>
            </w:tcBorders>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20" w:type="dxa"/>
            <w:vAlign w:val="bottom"/>
            <w:gridSpan w:val="4"/>
            <w:vMerge w:val="restart"/>
          </w:tcPr>
          <w:p>
            <w:pPr>
              <w:ind w:left="520"/>
              <w:spacing w:after="0" w:line="174" w:lineRule="exact"/>
              <w:rPr>
                <w:sz w:val="20"/>
                <w:szCs w:val="20"/>
                <w:color w:val="auto"/>
              </w:rPr>
            </w:pPr>
            <w:r>
              <w:rPr>
                <w:rFonts w:ascii="Times New Roman" w:cs="Times New Roman" w:eastAsia="Times New Roman" w:hAnsi="Times New Roman"/>
                <w:sz w:val="17"/>
                <w:szCs w:val="17"/>
                <w:color w:val="0000FF"/>
              </w:rPr>
              <w:t>President and COO</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ADAPTIVE BIOTECHNOLOGIES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60" w:type="dxa"/>
            <w:vAlign w:val="bottom"/>
            <w:gridSpan w:val="7"/>
            <w:vMerge w:val="continue"/>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7"/>
            <w:vMerge w:val="continue"/>
          </w:tcPr>
          <w:p>
            <w:pPr>
              <w:spacing w:after="0"/>
              <w:rPr>
                <w:sz w:val="12"/>
                <w:szCs w:val="12"/>
                <w:color w:val="auto"/>
              </w:rPr>
            </w:pPr>
          </w:p>
        </w:tc>
        <w:tc>
          <w:tcPr>
            <w:tcW w:w="1640" w:type="dxa"/>
            <w:vAlign w:val="bottom"/>
            <w:gridSpan w:val="6"/>
            <w:vMerge w:val="restart"/>
          </w:tcPr>
          <w:p>
            <w:pPr>
              <w:ind w:left="260"/>
              <w:spacing w:after="0"/>
              <w:rPr>
                <w:sz w:val="20"/>
                <w:szCs w:val="20"/>
                <w:color w:val="auto"/>
              </w:rPr>
            </w:pPr>
            <w:r>
              <w:rPr>
                <w:rFonts w:ascii="Times New Roman" w:cs="Times New Roman" w:eastAsia="Times New Roman" w:hAnsi="Times New Roman"/>
                <w:sz w:val="17"/>
                <w:szCs w:val="17"/>
                <w:color w:val="0000FF"/>
              </w:rPr>
              <w:t>10/22/2026</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CORPORATION</w:t>
            </w: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40" w:type="dxa"/>
            <w:vAlign w:val="bottom"/>
            <w:gridSpan w:val="6"/>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1165 EASTLAKE AVENUE EAST</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8"/>
            <w:vMerge w:val="restart"/>
          </w:tcPr>
          <w:p>
            <w:pPr>
              <w:jc w:val="center"/>
              <w:ind w:right="192"/>
              <w:spacing w:after="0"/>
              <w:rPr>
                <w:sz w:val="20"/>
                <w:szCs w:val="20"/>
                <w:color w:val="auto"/>
              </w:rPr>
            </w:pPr>
            <w:r>
              <w:rPr>
                <w:rFonts w:ascii="Arial" w:cs="Arial" w:eastAsia="Arial" w:hAnsi="Arial"/>
                <w:sz w:val="13"/>
                <w:szCs w:val="13"/>
                <w:color w:val="auto"/>
                <w:w w:val="98"/>
              </w:rPr>
              <w:t>4. If Amendment, Date of Original Filed (Month/Day/Year)</w:t>
            </w:r>
          </w:p>
        </w:tc>
        <w:tc>
          <w:tcPr>
            <w:tcW w:w="240" w:type="dxa"/>
            <w:vAlign w:val="bottom"/>
          </w:tcPr>
          <w:p>
            <w:pPr>
              <w:spacing w:after="0"/>
              <w:rPr>
                <w:sz w:val="9"/>
                <w:szCs w:val="9"/>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20" w:type="dxa"/>
            <w:vAlign w:val="bottom"/>
            <w:gridSpan w:val="8"/>
            <w:vMerge w:val="continue"/>
          </w:tcPr>
          <w:p>
            <w:pPr>
              <w:spacing w:after="0"/>
              <w:rPr>
                <w:sz w:val="5"/>
                <w:szCs w:val="5"/>
                <w:color w:val="auto"/>
              </w:rPr>
            </w:pPr>
          </w:p>
        </w:tc>
        <w:tc>
          <w:tcPr>
            <w:tcW w:w="240" w:type="dxa"/>
            <w:vAlign w:val="bottom"/>
          </w:tcPr>
          <w:p>
            <w:pPr>
              <w:spacing w:after="0"/>
              <w:rPr>
                <w:sz w:val="5"/>
                <w:szCs w:val="5"/>
                <w:color w:val="auto"/>
              </w:rPr>
            </w:pPr>
          </w:p>
        </w:tc>
        <w:tc>
          <w:tcPr>
            <w:tcW w:w="340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vMerge w:val="restart"/>
          </w:tcPr>
          <w:p>
            <w:pPr>
              <w:spacing w:after="0"/>
              <w:rPr>
                <w:sz w:val="7"/>
                <w:szCs w:val="7"/>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7"/>
                <w:szCs w:val="17"/>
                <w:color w:val="0000FF"/>
              </w:rPr>
              <w:t>SEATTLE</w:t>
            </w:r>
          </w:p>
        </w:tc>
        <w:tc>
          <w:tcPr>
            <w:tcW w:w="1220" w:type="dxa"/>
            <w:vAlign w:val="bottom"/>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WA</w:t>
            </w:r>
          </w:p>
        </w:tc>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98109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6780" w:type="dxa"/>
            <w:vAlign w:val="bottom"/>
            <w:tcBorders>
              <w:top w:val="single" w:sz="8" w:color="2C2C2C"/>
            </w:tcBorders>
            <w:gridSpan w:val="18"/>
          </w:tcPr>
          <w:p>
            <w:pPr>
              <w:ind w:left="3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2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6"/>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5"/>
          </w:tcPr>
          <w:p>
            <w:pPr>
              <w:jc w:val="center"/>
              <w:ind w:left="50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27"/>
              <w:spacing w:after="0"/>
              <w:rPr>
                <w:sz w:val="20"/>
                <w:szCs w:val="20"/>
                <w:color w:val="auto"/>
              </w:rPr>
            </w:pPr>
            <w:r>
              <w:rPr>
                <w:rFonts w:ascii="Times New Roman" w:cs="Times New Roman" w:eastAsia="Times New Roman" w:hAnsi="Times New Roman"/>
                <w:sz w:val="17"/>
                <w:szCs w:val="17"/>
                <w:color w:val="0000FF"/>
                <w:w w:val="98"/>
              </w:rPr>
              <w:t>10/22/2026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gridSpan w:val="2"/>
          </w:tcPr>
          <w:p>
            <w:pPr>
              <w:jc w:val="center"/>
              <w:ind w:left="87"/>
              <w:spacing w:after="0"/>
              <w:rPr>
                <w:sz w:val="20"/>
                <w:szCs w:val="20"/>
                <w:color w:val="auto"/>
              </w:rPr>
            </w:pPr>
            <w:r>
              <w:rPr>
                <w:rFonts w:ascii="Times New Roman" w:cs="Times New Roman" w:eastAsia="Times New Roman" w:hAnsi="Times New Roman"/>
                <w:sz w:val="17"/>
                <w:szCs w:val="17"/>
                <w:color w:val="0000FF"/>
                <w:w w:val="98"/>
              </w:rPr>
              <w:t>11,881</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12.14</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389,683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27"/>
              <w:spacing w:after="0"/>
              <w:rPr>
                <w:sz w:val="20"/>
                <w:szCs w:val="20"/>
                <w:color w:val="auto"/>
              </w:rPr>
            </w:pPr>
            <w:r>
              <w:rPr>
                <w:rFonts w:ascii="Times New Roman" w:cs="Times New Roman" w:eastAsia="Times New Roman" w:hAnsi="Times New Roman"/>
                <w:sz w:val="17"/>
                <w:szCs w:val="17"/>
                <w:color w:val="0000FF"/>
                <w:w w:val="98"/>
              </w:rPr>
              <w:t>10/22/2026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gridSpan w:val="2"/>
          </w:tcPr>
          <w:p>
            <w:pPr>
              <w:jc w:val="center"/>
              <w:ind w:left="87"/>
              <w:spacing w:after="0"/>
              <w:rPr>
                <w:sz w:val="20"/>
                <w:szCs w:val="20"/>
                <w:color w:val="auto"/>
              </w:rPr>
            </w:pPr>
            <w:r>
              <w:rPr>
                <w:rFonts w:ascii="Times New Roman" w:cs="Times New Roman" w:eastAsia="Times New Roman" w:hAnsi="Times New Roman"/>
                <w:sz w:val="17"/>
                <w:szCs w:val="17"/>
                <w:color w:val="0000FF"/>
                <w:w w:val="98"/>
              </w:rPr>
              <w:t>10,181</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24.38</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379,502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27"/>
              <w:spacing w:after="0"/>
              <w:rPr>
                <w:sz w:val="20"/>
                <w:szCs w:val="20"/>
                <w:color w:val="auto"/>
              </w:rPr>
            </w:pPr>
            <w:r>
              <w:rPr>
                <w:rFonts w:ascii="Times New Roman" w:cs="Times New Roman" w:eastAsia="Times New Roman" w:hAnsi="Times New Roman"/>
                <w:sz w:val="17"/>
                <w:szCs w:val="17"/>
                <w:color w:val="0000FF"/>
                <w:w w:val="98"/>
              </w:rPr>
              <w:t>10/22/2026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gridSpan w:val="2"/>
          </w:tcPr>
          <w:p>
            <w:pPr>
              <w:jc w:val="center"/>
              <w:ind w:left="87"/>
              <w:spacing w:after="0"/>
              <w:rPr>
                <w:sz w:val="20"/>
                <w:szCs w:val="20"/>
                <w:color w:val="auto"/>
              </w:rPr>
            </w:pPr>
            <w:r>
              <w:rPr>
                <w:rFonts w:ascii="Times New Roman" w:cs="Times New Roman" w:eastAsia="Times New Roman" w:hAnsi="Times New Roman"/>
                <w:sz w:val="17"/>
                <w:szCs w:val="17"/>
                <w:color w:val="0000FF"/>
                <w:w w:val="99"/>
              </w:rPr>
              <w:t>1,700</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25.29</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377,802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27"/>
              <w:spacing w:after="0"/>
              <w:rPr>
                <w:sz w:val="20"/>
                <w:szCs w:val="20"/>
                <w:color w:val="auto"/>
              </w:rPr>
            </w:pPr>
            <w:r>
              <w:rPr>
                <w:rFonts w:ascii="Times New Roman" w:cs="Times New Roman" w:eastAsia="Times New Roman" w:hAnsi="Times New Roman"/>
                <w:sz w:val="17"/>
                <w:szCs w:val="17"/>
                <w:color w:val="0000FF"/>
                <w:w w:val="98"/>
              </w:rPr>
              <w:t>10/23/2026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gridSpan w:val="2"/>
          </w:tcPr>
          <w:p>
            <w:pPr>
              <w:jc w:val="center"/>
              <w:ind w:left="87"/>
              <w:spacing w:after="0"/>
              <w:rPr>
                <w:sz w:val="20"/>
                <w:szCs w:val="20"/>
                <w:color w:val="auto"/>
              </w:rPr>
            </w:pPr>
            <w:r>
              <w:rPr>
                <w:rFonts w:ascii="Times New Roman" w:cs="Times New Roman" w:eastAsia="Times New Roman" w:hAnsi="Times New Roman"/>
                <w:sz w:val="17"/>
                <w:szCs w:val="17"/>
                <w:color w:val="0000FF"/>
                <w:w w:val="98"/>
              </w:rPr>
              <w:t>11,881</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12.14</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389,683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27"/>
              <w:spacing w:after="0"/>
              <w:rPr>
                <w:sz w:val="20"/>
                <w:szCs w:val="20"/>
                <w:color w:val="auto"/>
              </w:rPr>
            </w:pPr>
            <w:r>
              <w:rPr>
                <w:rFonts w:ascii="Times New Roman" w:cs="Times New Roman" w:eastAsia="Times New Roman" w:hAnsi="Times New Roman"/>
                <w:sz w:val="17"/>
                <w:szCs w:val="17"/>
                <w:color w:val="0000FF"/>
                <w:w w:val="98"/>
              </w:rPr>
              <w:t>10/23/2026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gridSpan w:val="2"/>
          </w:tcPr>
          <w:p>
            <w:pPr>
              <w:jc w:val="center"/>
              <w:ind w:left="87"/>
              <w:spacing w:after="0"/>
              <w:rPr>
                <w:sz w:val="20"/>
                <w:szCs w:val="20"/>
                <w:color w:val="auto"/>
              </w:rPr>
            </w:pPr>
            <w:r>
              <w:rPr>
                <w:rFonts w:ascii="Times New Roman" w:cs="Times New Roman" w:eastAsia="Times New Roman" w:hAnsi="Times New Roman"/>
                <w:sz w:val="17"/>
                <w:szCs w:val="17"/>
                <w:color w:val="0000FF"/>
                <w:w w:val="99"/>
              </w:rPr>
              <w:t>4,500</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24.5</w:t>
            </w:r>
            <w:r>
              <w:rPr>
                <w:rFonts w:ascii="Times New Roman" w:cs="Times New Roman" w:eastAsia="Times New Roman" w:hAnsi="Times New Roman"/>
                <w:sz w:val="21"/>
                <w:szCs w:val="21"/>
                <w:color w:val="008000"/>
                <w:w w:val="89"/>
                <w:vertAlign w:val="superscript"/>
              </w:rPr>
              <w:t>(4)</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385,183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27"/>
              <w:spacing w:after="0"/>
              <w:rPr>
                <w:sz w:val="20"/>
                <w:szCs w:val="20"/>
                <w:color w:val="auto"/>
              </w:rPr>
            </w:pPr>
            <w:r>
              <w:rPr>
                <w:rFonts w:ascii="Times New Roman" w:cs="Times New Roman" w:eastAsia="Times New Roman" w:hAnsi="Times New Roman"/>
                <w:sz w:val="17"/>
                <w:szCs w:val="17"/>
                <w:color w:val="0000FF"/>
                <w:w w:val="98"/>
              </w:rPr>
              <w:t>10/23/2026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gridSpan w:val="2"/>
          </w:tcPr>
          <w:p>
            <w:pPr>
              <w:jc w:val="center"/>
              <w:ind w:left="87"/>
              <w:spacing w:after="0"/>
              <w:rPr>
                <w:sz w:val="20"/>
                <w:szCs w:val="20"/>
                <w:color w:val="auto"/>
              </w:rPr>
            </w:pPr>
            <w:r>
              <w:rPr>
                <w:rFonts w:ascii="Times New Roman" w:cs="Times New Roman" w:eastAsia="Times New Roman" w:hAnsi="Times New Roman"/>
                <w:sz w:val="17"/>
                <w:szCs w:val="17"/>
                <w:color w:val="0000FF"/>
                <w:w w:val="99"/>
              </w:rPr>
              <w:t>7,381</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25.28</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377,802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27"/>
              <w:spacing w:after="0"/>
              <w:rPr>
                <w:sz w:val="20"/>
                <w:szCs w:val="20"/>
                <w:color w:val="auto"/>
              </w:rPr>
            </w:pPr>
            <w:r>
              <w:rPr>
                <w:rFonts w:ascii="Times New Roman" w:cs="Times New Roman" w:eastAsia="Times New Roman" w:hAnsi="Times New Roman"/>
                <w:sz w:val="17"/>
                <w:szCs w:val="17"/>
                <w:color w:val="0000FF"/>
                <w:w w:val="98"/>
              </w:rPr>
              <w:t>10/26/2026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gridSpan w:val="2"/>
          </w:tcPr>
          <w:p>
            <w:pPr>
              <w:jc w:val="center"/>
              <w:ind w:left="87"/>
              <w:spacing w:after="0"/>
              <w:rPr>
                <w:sz w:val="20"/>
                <w:szCs w:val="20"/>
                <w:color w:val="auto"/>
              </w:rPr>
            </w:pPr>
            <w:r>
              <w:rPr>
                <w:rFonts w:ascii="Times New Roman" w:cs="Times New Roman" w:eastAsia="Times New Roman" w:hAnsi="Times New Roman"/>
                <w:sz w:val="17"/>
                <w:szCs w:val="17"/>
                <w:color w:val="0000FF"/>
                <w:w w:val="98"/>
              </w:rPr>
              <w:t>11,881</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12.14</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389,683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27"/>
              <w:spacing w:after="0"/>
              <w:rPr>
                <w:sz w:val="20"/>
                <w:szCs w:val="20"/>
                <w:color w:val="auto"/>
              </w:rPr>
            </w:pPr>
            <w:r>
              <w:rPr>
                <w:rFonts w:ascii="Times New Roman" w:cs="Times New Roman" w:eastAsia="Times New Roman" w:hAnsi="Times New Roman"/>
                <w:sz w:val="17"/>
                <w:szCs w:val="17"/>
                <w:color w:val="0000FF"/>
                <w:w w:val="98"/>
              </w:rPr>
              <w:t>10/26/2026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gridSpan w:val="2"/>
          </w:tcPr>
          <w:p>
            <w:pPr>
              <w:jc w:val="center"/>
              <w:ind w:left="87"/>
              <w:spacing w:after="0"/>
              <w:rPr>
                <w:sz w:val="20"/>
                <w:szCs w:val="20"/>
                <w:color w:val="auto"/>
              </w:rPr>
            </w:pPr>
            <w:r>
              <w:rPr>
                <w:rFonts w:ascii="Times New Roman" w:cs="Times New Roman" w:eastAsia="Times New Roman" w:hAnsi="Times New Roman"/>
                <w:sz w:val="17"/>
                <w:szCs w:val="17"/>
                <w:color w:val="0000FF"/>
                <w:w w:val="99"/>
              </w:rPr>
              <w:t>8,503</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25.94</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381,180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27"/>
              <w:spacing w:after="0"/>
              <w:rPr>
                <w:sz w:val="20"/>
                <w:szCs w:val="20"/>
                <w:color w:val="auto"/>
              </w:rPr>
            </w:pPr>
            <w:r>
              <w:rPr>
                <w:rFonts w:ascii="Times New Roman" w:cs="Times New Roman" w:eastAsia="Times New Roman" w:hAnsi="Times New Roman"/>
                <w:sz w:val="17"/>
                <w:szCs w:val="17"/>
                <w:color w:val="0000FF"/>
                <w:w w:val="98"/>
              </w:rPr>
              <w:t>10/26/2026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gridSpan w:val="2"/>
          </w:tcPr>
          <w:p>
            <w:pPr>
              <w:jc w:val="center"/>
              <w:ind w:left="87"/>
              <w:spacing w:after="0"/>
              <w:rPr>
                <w:sz w:val="20"/>
                <w:szCs w:val="20"/>
                <w:color w:val="auto"/>
              </w:rPr>
            </w:pPr>
            <w:r>
              <w:rPr>
                <w:rFonts w:ascii="Times New Roman" w:cs="Times New Roman" w:eastAsia="Times New Roman" w:hAnsi="Times New Roman"/>
                <w:sz w:val="17"/>
                <w:szCs w:val="17"/>
                <w:color w:val="0000FF"/>
                <w:w w:val="99"/>
              </w:rPr>
              <w:t>3,378</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26.3</w:t>
            </w:r>
            <w:r>
              <w:rPr>
                <w:rFonts w:ascii="Times New Roman" w:cs="Times New Roman" w:eastAsia="Times New Roman" w:hAnsi="Times New Roman"/>
                <w:sz w:val="21"/>
                <w:szCs w:val="21"/>
                <w:color w:val="008000"/>
                <w:w w:val="89"/>
                <w:vertAlign w:val="superscript"/>
              </w:rPr>
              <w:t>(7)</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377,802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780" w:type="dxa"/>
            <w:vAlign w:val="bottom"/>
            <w:tcBorders>
              <w:top w:val="single" w:sz="8" w:color="2C2C2C"/>
            </w:tcBorders>
            <w:gridSpan w:val="18"/>
          </w:tcPr>
          <w:p>
            <w:pPr>
              <w:jc w:val="center"/>
              <w:ind w:left="33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80" w:type="dxa"/>
            <w:vAlign w:val="bottom"/>
            <w:gridSpan w:val="15"/>
          </w:tcPr>
          <w:p>
            <w:pPr>
              <w:jc w:val="center"/>
              <w:ind w:left="42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12.14</w:t>
            </w: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10/22/2026</w:t>
            </w:r>
          </w:p>
        </w:tc>
        <w:tc>
          <w:tcPr>
            <w:tcW w:w="1100" w:type="dxa"/>
            <w:vAlign w:val="bottom"/>
          </w:tcPr>
          <w:p>
            <w:pPr>
              <w:spacing w:after="0"/>
              <w:rPr>
                <w:sz w:val="16"/>
                <w:szCs w:val="16"/>
                <w:color w:val="auto"/>
              </w:rPr>
            </w:pPr>
          </w:p>
        </w:tc>
        <w:tc>
          <w:tcPr>
            <w:tcW w:w="62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11,881</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03/04/2032</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11,881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189,681</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jc w:val="right"/>
              <w:ind w:right="152"/>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12.14</w:t>
            </w: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10/23/2026</w:t>
            </w:r>
          </w:p>
        </w:tc>
        <w:tc>
          <w:tcPr>
            <w:tcW w:w="1100" w:type="dxa"/>
            <w:vAlign w:val="bottom"/>
          </w:tcPr>
          <w:p>
            <w:pPr>
              <w:spacing w:after="0"/>
              <w:rPr>
                <w:sz w:val="16"/>
                <w:szCs w:val="16"/>
                <w:color w:val="auto"/>
              </w:rPr>
            </w:pPr>
          </w:p>
        </w:tc>
        <w:tc>
          <w:tcPr>
            <w:tcW w:w="62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11,881</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03/04/2032</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11,881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177,800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jc w:val="right"/>
              <w:ind w:right="152"/>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12.14</w:t>
            </w: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10/26/2026</w:t>
            </w:r>
          </w:p>
        </w:tc>
        <w:tc>
          <w:tcPr>
            <w:tcW w:w="1100" w:type="dxa"/>
            <w:vAlign w:val="bottom"/>
          </w:tcPr>
          <w:p>
            <w:pPr>
              <w:spacing w:after="0"/>
              <w:rPr>
                <w:sz w:val="16"/>
                <w:szCs w:val="16"/>
                <w:color w:val="auto"/>
              </w:rPr>
            </w:pPr>
          </w:p>
        </w:tc>
        <w:tc>
          <w:tcPr>
            <w:tcW w:w="62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11,881</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03/04/2032</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11,881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165,919</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ind w:right="152"/>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 adopted by the reporting person on November 18, 2025.</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for this transaction is a weighted average price. These shares were sold in multiple transactions at prices ranging from $23.96 to $24.89,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p>
      <w:pPr>
        <w:spacing w:after="0" w:line="26"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for this transaction is a weighted average price. These shares were sold in multiple transactions at prices ranging from $24.96 to $25.59,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for this transaction is a weighted average price. These shares were sold in multiple transactions at prices ranging from $23.82 to $24.79, inclusive. The reporting person undertakes to</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line="255" w:lineRule="auto"/>
        <w:rPr>
          <w:sz w:val="20"/>
          <w:szCs w:val="20"/>
          <w:color w:val="auto"/>
        </w:rPr>
      </w:pPr>
      <w:r>
        <w:rPr>
          <w:rFonts w:ascii="Times New Roman" w:cs="Times New Roman" w:eastAsia="Times New Roman" w:hAnsi="Times New Roman"/>
          <w:sz w:val="13"/>
          <w:szCs w:val="13"/>
          <w:color w:val="008000"/>
        </w:rPr>
        <w:t>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p>
      <w:pPr>
        <w:spacing w:after="0" w:line="18" w:lineRule="exact"/>
        <w:rPr>
          <w:sz w:val="20"/>
          <w:szCs w:val="20"/>
          <w:color w:val="auto"/>
        </w:rPr>
      </w:pPr>
    </w:p>
    <w:p>
      <w:pPr>
        <w:ind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for this transaction is a weighted average price. These shares were sold in multiple transactions at prices ranging from $24.85 to $25.60,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p>
      <w:pPr>
        <w:spacing w:after="0" w:line="26" w:lineRule="exact"/>
        <w:rPr>
          <w:rFonts w:ascii="Times New Roman" w:cs="Times New Roman" w:eastAsia="Times New Roman" w:hAnsi="Times New Roman"/>
          <w:sz w:val="13"/>
          <w:szCs w:val="13"/>
          <w:color w:val="008000"/>
        </w:rPr>
      </w:pPr>
    </w:p>
    <w:p>
      <w:pPr>
        <w:ind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for this transaction is a weighted average price. These shares were sold in multiple transactions at prices ranging from $25.25 to $26.25,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p>
      <w:pPr>
        <w:spacing w:after="0" w:line="26" w:lineRule="exact"/>
        <w:rPr>
          <w:rFonts w:ascii="Times New Roman" w:cs="Times New Roman" w:eastAsia="Times New Roman" w:hAnsi="Times New Roman"/>
          <w:sz w:val="13"/>
          <w:szCs w:val="13"/>
          <w:color w:val="008000"/>
        </w:rPr>
      </w:pPr>
    </w:p>
    <w:p>
      <w:pPr>
        <w:ind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for this transaction is a weighted average price. These shares were sold in multiple transactions at prices ranging from $26.25 to $26.42,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p>
      <w:pPr>
        <w:spacing w:after="0" w:line="26"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5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Julie Rubinstein by Kyle</w:t>
            </w:r>
          </w:p>
        </w:tc>
        <w:tc>
          <w:tcPr>
            <w:tcW w:w="3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10/26/2026</w:t>
            </w:r>
          </w:p>
        </w:tc>
        <w:tc>
          <w:tcPr>
            <w:tcW w:w="0" w:type="dxa"/>
            <w:vAlign w:val="bottom"/>
          </w:tcPr>
          <w:p>
            <w:pPr>
              <w:spacing w:after="0"/>
              <w:rPr>
                <w:sz w:val="1"/>
                <w:szCs w:val="1"/>
                <w:color w:val="auto"/>
              </w:rPr>
            </w:pPr>
          </w:p>
        </w:tc>
      </w:tr>
      <w:tr>
        <w:trPr>
          <w:trHeight w:val="88"/>
        </w:trPr>
        <w:tc>
          <w:tcPr>
            <w:tcW w:w="16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Piskel, Attorney-in-Fact</w:t>
            </w:r>
          </w:p>
        </w:tc>
        <w:tc>
          <w:tcPr>
            <w:tcW w:w="5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20" w:type="dxa"/>
            <w:vAlign w:val="bottom"/>
            <w:tcBorders>
              <w:bottom w:val="single" w:sz="8" w:color="auto"/>
            </w:tcBorders>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0664" TargetMode="External"/><Relationship Id="rId14" Type="http://schemas.openxmlformats.org/officeDocument/2006/relationships/hyperlink" Target="http://www.sec.gov/cgi-bin/browse-edgar?action=getcompany&amp;CIK=00014783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2026-10-26T17:53:20Z</dcterms:created>
  <dcterms:modified xsi:type="dcterms:W3CDTF">2026-10-26T17:53:20Z</dcterms:modified>
</cp:coreProperties>
</file>