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pt-20260724.htm"/>
      <w:bookmarkStart w:id="1" w:name="ksadpt2026072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July 24, 2026</w:t>
      </w:r>
    </w:p>
    <w:p>
      <w:pPr>
        <w:pStyle w:val="TextBody"/>
        <w:bidi w:val="0"/>
        <w:spacing w:before="180" w:after="283"/>
        <w:jc w:val="center"/>
        <w:rPr>
          <w:rFonts w:ascii="Times New Roman" w:hAnsi="Times New Roman"/>
          <w:b/>
          <w:color w:val="000000"/>
          <w:sz w:val="44"/>
        </w:rPr>
      </w:pPr>
      <w:r>
        <w:rPr>
          <w:rFonts w:ascii="Times New Roman" w:hAnsi="Times New Roman"/>
          <w:b/>
          <w:color w:val="000000"/>
          <w:sz w:val="44"/>
        </w:rPr>
        <w:t>ADAPTIVE BIOTECHNOLOGIES CORPORATION</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001-38957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27-0907024</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1165 Eastlake Avenue East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98109</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(206)</w:t>
      </w:r>
      <w:r>
        <w:rPr>
          <w:rFonts w:ascii="Times New Roman" w:hAnsi="Times New Roman"/>
          <w:color w:val="000000"/>
          <w:sz w:val="20"/>
        </w:rPr>
        <w:t xml:space="preserve"> </w:t>
      </w:r>
      <w:r>
        <w:rPr>
          <w:rFonts w:ascii="Times New Roman" w:hAnsi="Times New Roman"/>
          <w:b/>
          <w:color w:val="000000"/>
          <w:sz w:val="20"/>
        </w:rPr>
        <w:t>659-0067</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3676"/>
        <w:gridCol w:w="146"/>
        <w:gridCol w:w="826"/>
        <w:gridCol w:w="146"/>
        <w:gridCol w:w="331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ADPT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On July 29, 2026, Adaptive Biotechnologies Corporation (the “</w:t>
      </w:r>
      <w:r>
        <w:rPr>
          <w:rFonts w:ascii="Times New Roman" w:hAnsi="Times New Roman"/>
          <w:b/>
          <w:i/>
          <w:color w:val="000000"/>
          <w:sz w:val="20"/>
        </w:rPr>
        <w:t>Company</w:t>
      </w:r>
      <w:r>
        <w:rPr>
          <w:rFonts w:ascii="Times New Roman" w:hAnsi="Times New Roman"/>
          <w:color w:val="000000"/>
          <w:sz w:val="20"/>
        </w:rPr>
        <w:t xml:space="preserve">”) issued a press release regarding the Company’s financial results for the quarter ended June 30, 2026. A copy of the press release is attached as Exhibit 99.1 and incorporated herein by reference.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in this Item 2.02 and the press release attached as Exhibit 99.1 hereto shall not be deemed to be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nor shall such information be deemed incorporated by reference in any filing under the Securities Act of 1933, as amended, or the Exchange Act, except as shall be expressly set forth by specific reference in such filing.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9376"/>
      </w:tblGrid>
      <w:tr>
        <w:trPr/>
        <w:tc>
          <w:tcPr>
            <w:tcW w:w="829"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Item 5.02</w:t>
            </w:r>
            <w:r>
              <w:rPr>
                <w:rFonts w:ascii="Times New Roman" w:hAnsi="Times New Roman"/>
                <w:color w:val="000000"/>
                <w:sz w:val="20"/>
              </w:rPr>
              <w:t xml:space="preserve"> </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24, 2026, the Company’s Chief Scientific Officer and Co-founder, Dr. Harlan Robins, decided to transition into a strategic consultant role with the Company. The Company expects to enter into a consulting agreement with Dr. Robins on its standard form pursuant to which he would support research and development efforts for the minimal residual disease business and the separation of the immune medicine business. There are no disagreements or performance matters related to Dr. Robins's decision. </w:t>
      </w:r>
    </w:p>
    <w:p>
      <w:pPr>
        <w:pStyle w:val="TextBody"/>
        <w:bidi w:val="0"/>
        <w:spacing w:before="120" w:after="283"/>
        <w:jc w:val="center"/>
        <w:rPr/>
      </w:pPr>
      <w:r>
        <w:rPr/>
        <w:t>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adpt-ex99_1.htm">
              <w:r>
                <w:rPr>
                  <w:rStyle w:val="InternetLink"/>
                  <w:rFonts w:ascii="Times New Roman" w:hAnsi="Times New Roman"/>
                  <w:color w:val="0000FF"/>
                  <w:sz w:val="20"/>
                  <w:u w:val="single"/>
                </w:rPr>
                <w:t>Press Release dated July 29,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40" w:type="dxa"/>
        <w:jc w:val="left"/>
        <w:tblInd w:w="0" w:type="dxa"/>
        <w:tblLayout w:type="fixed"/>
        <w:tblCellMar>
          <w:top w:w="28" w:type="dxa"/>
          <w:left w:w="28" w:type="dxa"/>
          <w:bottom w:w="28" w:type="dxa"/>
          <w:right w:w="28" w:type="dxa"/>
        </w:tblCellMar>
      </w:tblPr>
      <w:tblGrid>
        <w:gridCol w:w="1711"/>
        <w:gridCol w:w="109"/>
        <w:gridCol w:w="574"/>
        <w:gridCol w:w="284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Adaptive Biotechnologies Corporation</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Piskel</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Piskel</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 w:name="adpt-ex99_1.htm"/>
      <w:bookmarkStart w:id="3" w:name="ksadptex99_1"/>
      <w:bookmarkEnd w:id="2"/>
      <w:bookmarkEnd w:id="3"/>
      <w:r>
        <w:rPr>
          <w:rFonts w:ascii="Arial" w:hAnsi="Arial"/>
          <w:color w:val="000000"/>
          <w:sz w:val="20"/>
        </w:rPr>
        <w:t>EXHIBIT 99.1</w:t>
      </w:r>
      <w:r>
        <w:br w:type="page"/>
      </w:r>
    </w:p>
    <w:p>
      <w:pPr>
        <w:pStyle w:val="TextBody"/>
        <w:bidi w:val="0"/>
        <w:jc w:val="left"/>
        <w:rPr/>
      </w:pPr>
      <w:r>
        <w:rPr/>
        <w:drawing>
          <wp:inline distT="0" distB="0" distL="0" distR="0">
            <wp:extent cx="17907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1009650"/>
                    </a:xfrm>
                    <a:prstGeom prst="rect">
                      <a:avLst/>
                    </a:prstGeom>
                  </pic:spPr>
                </pic:pic>
              </a:graphicData>
            </a:graphic>
          </wp:inline>
        </w:drawing>
      </w:r>
    </w:p>
    <w:p>
      <w:pPr>
        <w:pStyle w:val="TextBody"/>
        <w:bidi w:val="0"/>
        <w:jc w:val="center"/>
        <w:rPr>
          <w:rFonts w:ascii="Times New Roman" w:hAnsi="Times New Roman"/>
          <w:sz w:val="20"/>
        </w:rPr>
      </w:pPr>
      <w:bookmarkStart w:id="4" w:name="section_1"/>
      <w:bookmarkEnd w:id="4"/>
      <w:r>
        <w:rPr>
          <w:rFonts w:ascii="Arial" w:hAnsi="Arial"/>
          <w:b/>
          <w:color w:val="000000"/>
          <w:sz w:val="20"/>
        </w:rPr>
        <w:t>Adaptive Biotechnologies Reports Second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SEATTLE, Jul. 29, 2026 (GLOBE NEWSWIRE) </w:t>
      </w:r>
      <w:r>
        <w:rPr>
          <w:rFonts w:ascii="Times New Roman" w:hAnsi="Times New Roman"/>
          <w:color w:val="000000"/>
          <w:sz w:val="20"/>
        </w:rPr>
        <w:t xml:space="preserve">– </w:t>
      </w:r>
      <w:r>
        <w:rPr>
          <w:rFonts w:ascii="Arial" w:hAnsi="Arial"/>
          <w:color w:val="000000"/>
          <w:sz w:val="20"/>
        </w:rPr>
        <w:t>Adaptive Biotechnologies Corporation (“Adaptive Biotechnologies”) (Nasdaq: ADPT), a commercial stage biotechnology company that aims to translate the genetics of the adaptive immune system into clinical products to diagnose and treat disease, today reported financial results for the quarter ended June 30, 2026.</w:t>
      </w:r>
    </w:p>
    <w:p>
      <w:pPr>
        <w:pStyle w:val="TextBody"/>
        <w:bidi w:val="0"/>
        <w:jc w:val="left"/>
        <w:rPr/>
      </w:pPr>
      <w:r>
        <w:rPr/>
        <w:t> </w:t>
      </w:r>
    </w:p>
    <w:p>
      <w:pPr>
        <w:pStyle w:val="TextBody"/>
        <w:bidi w:val="0"/>
        <w:spacing w:before="0" w:after="120"/>
        <w:jc w:val="left"/>
        <w:rPr>
          <w:color w:val="000000"/>
        </w:rPr>
      </w:pPr>
      <w:r>
        <w:rPr>
          <w:color w:val="000000"/>
        </w:rPr>
        <w:t>“</w:t>
      </w:r>
      <w:r>
        <w:rPr>
          <w:rFonts w:ascii="Arial" w:hAnsi="Arial"/>
          <w:color w:val="000000"/>
          <w:sz w:val="20"/>
        </w:rPr>
        <w:t>We delivered an exceptional second quarter, driven by expanding growth and profitability in MRD, including both our clinical and biopharma businesses,” said Chad Robins, chief executive officer and co-founder of Adaptive Biotechnologies. “The combination of our operating performance, fortified balance sheet and plan to separate the Immune Medicine business enhances our ability to create long-term value for our shareholders.”</w:t>
      </w:r>
    </w:p>
    <w:p>
      <w:pPr>
        <w:pStyle w:val="TextBody"/>
        <w:bidi w:val="0"/>
        <w:spacing w:before="240" w:after="120"/>
        <w:jc w:val="left"/>
        <w:rPr>
          <w:rFonts w:ascii="Arial" w:hAnsi="Arial"/>
          <w:b/>
          <w:color w:val="000000"/>
          <w:sz w:val="20"/>
        </w:rPr>
      </w:pPr>
      <w:r>
        <w:rPr>
          <w:rFonts w:ascii="Arial" w:hAnsi="Arial"/>
          <w:b/>
          <w:color w:val="000000"/>
          <w:sz w:val="20"/>
        </w:rPr>
        <w:t>Recent Highlights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Revenue for the second quarter of 2026 was $71.6 million. The MRD business, which contributed 92% of revenue, grew 33% versus the second quarter of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0"/>
        </w:rPr>
        <w:t>clonoSEQ</w:t>
      </w:r>
      <w:r>
        <w:rPr>
          <w:rFonts w:ascii="Arial" w:hAnsi="Arial"/>
          <w:color w:val="000000"/>
          <w:sz w:val="13"/>
        </w:rPr>
        <w:t>®</w:t>
      </w:r>
      <w:r>
        <w:rPr>
          <w:color w:val="000000"/>
        </w:rPr>
        <w:t xml:space="preserve"> </w:t>
      </w:r>
      <w:r>
        <w:rPr>
          <w:rFonts w:ascii="Arial" w:hAnsi="Arial"/>
          <w:color w:val="000000"/>
          <w:sz w:val="20"/>
        </w:rPr>
        <w:t>test volume in the second quarter of 2026 increased 43% to 36,111 tests delivered versus the second quarter of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Completed a $345 million zero-coupon convertible senior notes offering, repaid the OrbiMed Purchase Agreement, and increased financial flexibility to support strategic priorities.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company announced plans to pursue a separation of its MRD and Immune Medicine businesses.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Harlan Robins is transitioning roles at Adaptive from Chief Scientific Officer to a strategic consultant focused on key MRD R&amp;D initiatives and the separation of the Immune Medicine business.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Raising full year 2026 MRD revenue guidance to a new range of $268 million to $278 million, implying annual growth of 26% to 31%.</w:t>
      </w:r>
    </w:p>
    <w:p>
      <w:pPr>
        <w:pStyle w:val="TextBody"/>
        <w:bidi w:val="0"/>
        <w:spacing w:before="240" w:after="120"/>
        <w:jc w:val="both"/>
        <w:rPr>
          <w:rFonts w:ascii="Arial" w:hAnsi="Arial"/>
          <w:b/>
          <w:color w:val="000000"/>
          <w:sz w:val="20"/>
        </w:rPr>
      </w:pPr>
      <w:r>
        <w:rPr>
          <w:rFonts w:ascii="Arial" w:hAnsi="Arial"/>
          <w:b/>
          <w:color w:val="000000"/>
          <w:sz w:val="20"/>
        </w:rPr>
        <w:t>Second Quarter 2026 Financial Results</w:t>
      </w:r>
    </w:p>
    <w:p>
      <w:pPr>
        <w:pStyle w:val="TextBody"/>
        <w:bidi w:val="0"/>
        <w:spacing w:before="0" w:after="120"/>
        <w:jc w:val="left"/>
        <w:rPr>
          <w:rFonts w:ascii="Arial" w:hAnsi="Arial"/>
          <w:color w:val="000000"/>
          <w:sz w:val="20"/>
        </w:rPr>
      </w:pPr>
      <w:r>
        <w:rPr>
          <w:rFonts w:ascii="Arial" w:hAnsi="Arial"/>
          <w:color w:val="000000"/>
          <w:sz w:val="20"/>
        </w:rPr>
        <w:t>Revenue was $71.6 million for the quarter ended June 30, 2026, representing a 22% increase from the second quarter in the prior year. Excluding revenue recognized under the Genentech Agreement, which did not generate revenue in the quarter ended June 30, 2026, revenue for the current quarter increased 30% from the second quarter in the prior year. MRD revenue was $66.2 million for the quarter, representing a 33% increase from the second quarter in the prior year. Immune Medicine revenue was $5.4 million for the quarter, representing a 40% decrease from the second quarter in the prior year. Excluding revenue generated from the Genentech Agreement, Immune Medicine revenue for the quarter ended June 30, 2026 increased 8% from the second quarter in the prior year.</w:t>
      </w:r>
    </w:p>
    <w:p>
      <w:pPr>
        <w:pStyle w:val="TextBody"/>
        <w:bidi w:val="0"/>
        <w:spacing w:before="0" w:after="120"/>
        <w:jc w:val="left"/>
        <w:rPr>
          <w:rFonts w:ascii="Arial" w:hAnsi="Arial"/>
          <w:color w:val="000000"/>
          <w:sz w:val="20"/>
        </w:rPr>
      </w:pPr>
      <w:r>
        <w:rPr>
          <w:rFonts w:ascii="Arial" w:hAnsi="Arial"/>
          <w:color w:val="000000"/>
          <w:sz w:val="20"/>
        </w:rPr>
        <w:t>Operating expenses for the second quarter of 2026 were $87.3 million, compared to $83.9 million in the second quarter of the prior year, representing an increase of 4%.</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rial" w:hAnsi="Arial"/>
          <w:color w:val="000000"/>
          <w:sz w:val="20"/>
        </w:rPr>
      </w:pPr>
      <w:r>
        <w:rPr>
          <w:rFonts w:ascii="Arial" w:hAnsi="Arial"/>
          <w:color w:val="000000"/>
          <w:sz w:val="20"/>
        </w:rPr>
        <w:t>Interest and other income, net was $2.3 million for the second quarter of 2026, compared to $2.4 million in the second quarter of the prior year. Interest expense was $2.7 million for the second quarter of 2026, compared to $2.9 million in the second quarter of the prior year.</w:t>
      </w:r>
    </w:p>
    <w:p>
      <w:pPr>
        <w:pStyle w:val="TextBody"/>
        <w:bidi w:val="0"/>
        <w:spacing w:before="0" w:after="120"/>
        <w:jc w:val="left"/>
        <w:rPr>
          <w:rFonts w:ascii="Arial" w:hAnsi="Arial"/>
          <w:color w:val="000000"/>
          <w:sz w:val="20"/>
        </w:rPr>
      </w:pPr>
      <w:r>
        <w:rPr>
          <w:rFonts w:ascii="Arial" w:hAnsi="Arial"/>
          <w:color w:val="000000"/>
          <w:sz w:val="20"/>
        </w:rPr>
        <w:t>Net loss was $39.9 million for the second quarter of 2026, compared to $25.6 million for the same period in 2025. Excluding the loss recognized on the settlement of the OrbiMed Purchase Agreement, net loss was $16.2 million for the second quarter of 2026. Excluding revenue generated from the Genentech Agreement, net loss was $29.5 million for the second quarter of 2025.</w:t>
      </w:r>
    </w:p>
    <w:p>
      <w:pPr>
        <w:pStyle w:val="TextBody"/>
        <w:bidi w:val="0"/>
        <w:spacing w:before="0" w:after="120"/>
        <w:jc w:val="left"/>
        <w:rPr>
          <w:rFonts w:ascii="Arial" w:hAnsi="Arial"/>
          <w:color w:val="000000"/>
          <w:sz w:val="20"/>
        </w:rPr>
      </w:pPr>
      <w:r>
        <w:rPr>
          <w:rFonts w:ascii="Arial" w:hAnsi="Arial"/>
          <w:color w:val="000000"/>
          <w:sz w:val="20"/>
        </w:rPr>
        <w:t>Adjusted EBITDA (non-GAAP) was a loss of $0.7 million for the second quarter of 2026, compared to a loss of $7.2 million for the second quarter of the prior year. Excluding revenue generated from the Genentech Agreement, Adjusted EBITDA was a loss of $11.1 million for the second quarter of 2025.</w:t>
      </w:r>
    </w:p>
    <w:p>
      <w:pPr>
        <w:pStyle w:val="TextBody"/>
        <w:bidi w:val="0"/>
        <w:spacing w:before="0" w:after="120"/>
        <w:jc w:val="left"/>
        <w:rPr>
          <w:rFonts w:ascii="Arial" w:hAnsi="Arial"/>
          <w:color w:val="000000"/>
          <w:sz w:val="20"/>
        </w:rPr>
      </w:pPr>
      <w:r>
        <w:rPr>
          <w:rFonts w:ascii="Arial" w:hAnsi="Arial"/>
          <w:color w:val="000000"/>
          <w:sz w:val="20"/>
        </w:rPr>
        <w:t>Cash, cash equivalents and marketable securities was $371.7 million as of June 30, 2026, inclusive of $15.1 million of cash and cash equivalents held by Digital Biotechnologies, Inc.</w:t>
      </w:r>
    </w:p>
    <w:p>
      <w:pPr>
        <w:pStyle w:val="TextBody"/>
        <w:bidi w:val="0"/>
        <w:spacing w:before="240" w:after="120"/>
        <w:jc w:val="both"/>
        <w:rPr>
          <w:rFonts w:ascii="Arial" w:hAnsi="Arial"/>
          <w:b/>
          <w:color w:val="000000"/>
          <w:sz w:val="20"/>
        </w:rPr>
      </w:pPr>
      <w:r>
        <w:rPr>
          <w:rFonts w:ascii="Arial" w:hAnsi="Arial"/>
          <w:b/>
          <w:color w:val="000000"/>
          <w:sz w:val="20"/>
        </w:rPr>
        <w:t>2026 Updated Financial Guidance</w:t>
      </w:r>
    </w:p>
    <w:p>
      <w:pPr>
        <w:pStyle w:val="TextBody"/>
        <w:bidi w:val="0"/>
        <w:spacing w:before="0" w:after="120"/>
        <w:jc w:val="left"/>
        <w:rPr>
          <w:rFonts w:ascii="Arial" w:hAnsi="Arial"/>
          <w:color w:val="000000"/>
          <w:sz w:val="20"/>
        </w:rPr>
      </w:pPr>
      <w:r>
        <w:rPr>
          <w:rFonts w:ascii="Arial" w:hAnsi="Arial"/>
          <w:color w:val="000000"/>
          <w:sz w:val="20"/>
        </w:rPr>
        <w:t>Adaptive Biotechnologies expects full year revenue for the MRD business to be between $268 million and $278 million, updated from the previous range between $260 million and $270 million. No revenue guidance is provided for the Immune Medicine business.</w:t>
      </w:r>
    </w:p>
    <w:p>
      <w:pPr>
        <w:pStyle w:val="TextBody"/>
        <w:bidi w:val="0"/>
        <w:spacing w:before="0" w:after="120"/>
        <w:jc w:val="left"/>
        <w:rPr>
          <w:rFonts w:ascii="Arial" w:hAnsi="Arial"/>
          <w:color w:val="000000"/>
          <w:sz w:val="20"/>
        </w:rPr>
      </w:pPr>
      <w:r>
        <w:rPr>
          <w:rFonts w:ascii="Arial" w:hAnsi="Arial"/>
          <w:color w:val="000000"/>
          <w:sz w:val="20"/>
        </w:rPr>
        <w:t>We expect full year total company operating expenses, including cost of revenue, to be between $350 million and $355 million, updated from the previous range between $350 million and $360 million.</w:t>
      </w:r>
    </w:p>
    <w:p>
      <w:pPr>
        <w:pStyle w:val="TextBody"/>
        <w:bidi w:val="0"/>
        <w:spacing w:before="0" w:after="120"/>
        <w:jc w:val="left"/>
        <w:rPr>
          <w:rFonts w:ascii="Arial" w:hAnsi="Arial"/>
          <w:color w:val="000000"/>
          <w:sz w:val="20"/>
        </w:rPr>
      </w:pPr>
      <w:r>
        <w:rPr>
          <w:rFonts w:ascii="Arial" w:hAnsi="Arial"/>
          <w:color w:val="000000"/>
          <w:sz w:val="20"/>
        </w:rPr>
        <w:t>Management will provide further details on the outlook during the conference call.</w:t>
      </w:r>
    </w:p>
    <w:p>
      <w:pPr>
        <w:pStyle w:val="TextBody"/>
        <w:bidi w:val="0"/>
        <w:spacing w:before="240" w:after="120"/>
        <w:jc w:val="both"/>
        <w:rPr>
          <w:rFonts w:ascii="Arial" w:hAnsi="Arial"/>
          <w:b/>
          <w:color w:val="000000"/>
          <w:sz w:val="20"/>
        </w:rPr>
      </w:pPr>
      <w:r>
        <w:rPr>
          <w:rFonts w:ascii="Arial" w:hAnsi="Arial"/>
          <w:b/>
          <w:color w:val="000000"/>
          <w:sz w:val="20"/>
        </w:rPr>
        <w:t>Webcast and Conference Call Information</w:t>
      </w:r>
    </w:p>
    <w:p>
      <w:pPr>
        <w:pStyle w:val="TextBody"/>
        <w:bidi w:val="0"/>
        <w:spacing w:before="0" w:after="120"/>
        <w:jc w:val="left"/>
        <w:rPr>
          <w:rFonts w:ascii="Times New Roman" w:hAnsi="Times New Roman"/>
          <w:sz w:val="20"/>
        </w:rPr>
      </w:pPr>
      <w:r>
        <w:rPr>
          <w:rFonts w:ascii="Arial" w:hAnsi="Arial"/>
          <w:color w:val="000000"/>
          <w:sz w:val="20"/>
        </w:rPr>
        <w:t xml:space="preserve">Adaptive Biotechnologies will host a conference call to discuss its second quarter 2026 financial results after market close on Wednesday, July 29, 2026 at 4:30 PM Eastern Time. The conference call can be accessed at </w:t>
      </w:r>
      <w:r>
        <w:rPr>
          <w:rFonts w:ascii="Arial" w:hAnsi="Arial"/>
          <w:sz w:val="20"/>
        </w:rPr>
        <w:t>http://investors.adaptivebiotech.com</w:t>
      </w:r>
      <w:r>
        <w:rPr>
          <w:rFonts w:ascii="Arial" w:hAnsi="Arial"/>
          <w:color w:val="000000"/>
          <w:sz w:val="20"/>
        </w:rPr>
        <w:t>. The webcast will be archived and available for replay at least 90 days after the event.</w:t>
      </w:r>
    </w:p>
    <w:p>
      <w:pPr>
        <w:pStyle w:val="TextBody"/>
        <w:bidi w:val="0"/>
        <w:spacing w:before="240" w:after="120"/>
        <w:jc w:val="left"/>
        <w:rPr>
          <w:rFonts w:ascii="Arial" w:hAnsi="Arial"/>
          <w:b/>
          <w:color w:val="000000"/>
          <w:sz w:val="20"/>
        </w:rPr>
      </w:pPr>
      <w:r>
        <w:rPr>
          <w:rFonts w:ascii="Arial" w:hAnsi="Arial"/>
          <w:b/>
          <w:color w:val="000000"/>
          <w:sz w:val="20"/>
        </w:rPr>
        <w:t>About Adaptive Biotechnologies</w:t>
      </w:r>
    </w:p>
    <w:p>
      <w:pPr>
        <w:pStyle w:val="TextBody"/>
        <w:bidi w:val="0"/>
        <w:jc w:val="left"/>
        <w:rPr>
          <w:rFonts w:ascii="Arial" w:hAnsi="Arial"/>
          <w:color w:val="000000"/>
          <w:sz w:val="20"/>
        </w:rPr>
      </w:pPr>
      <w:r>
        <w:rPr>
          <w:rFonts w:ascii="Arial" w:hAnsi="Arial"/>
          <w:color w:val="000000"/>
          <w:sz w:val="20"/>
        </w:rPr>
        <w:t>Adaptive Biotechnologies (“we” or “our”) is a commercial-stage biotechnology company focused on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proprietary immune medicine platform reveals and translates the massive genetics of the adaptive immune system with scale, precision and speed. We apply our platform to partner with biopharmaceutical companies, inform drug development, and develop clinical diagnostics across our two business segments: Minimal Residual Disease (MRD) and Immune Medicine. Our commercial products and clinical pipeline enable the diagnosis, monitoring, and treatment of diseases such as cancer and autoimmune disorders. Our goal is to develop and commercialize immune-driven clinical products tailored to each individual patient.</w:t>
      </w:r>
    </w:p>
    <w:p>
      <w:pPr>
        <w:pStyle w:val="TextBody"/>
        <w:bidi w:val="0"/>
        <w:spacing w:before="360" w:after="120"/>
        <w:jc w:val="both"/>
        <w:rPr>
          <w:rFonts w:ascii="Arial" w:hAnsi="Arial"/>
          <w:b/>
          <w:color w:val="000000"/>
          <w:sz w:val="20"/>
        </w:rPr>
      </w:pPr>
      <w:r>
        <w:rPr>
          <w:rFonts w:ascii="Arial" w:hAnsi="Arial"/>
          <w:b/>
          <w:color w:val="000000"/>
          <w:sz w:val="20"/>
        </w:rPr>
        <w:t>Forward-Looking Statements</w:t>
      </w:r>
    </w:p>
    <w:p>
      <w:pPr>
        <w:pStyle w:val="TextBody"/>
        <w:bidi w:val="0"/>
        <w:spacing w:before="0" w:after="120"/>
        <w:jc w:val="left"/>
        <w:rPr>
          <w:rFonts w:ascii="Times New Roman" w:hAnsi="Times New Roman"/>
          <w:sz w:val="20"/>
        </w:rPr>
      </w:pPr>
      <w:r>
        <w:rPr>
          <w:rFonts w:ascii="Arial" w:hAnsi="Arial"/>
          <w:color w:val="000000"/>
          <w:sz w:val="20"/>
        </w:rPr>
        <w:t>This press release contains forward-looking statements that are based on management’s beliefs and assumptions and on information currently available to management. All statements contained in this release other than statements of historical fact are forward-looking statements, including statements regarding our ability to develop, commercialize and achieve market acceptance of our current and planned products and services, our research and development efforts and other matters regarding our business strategies, use of capital, results of operations and financial position and plans and objectives for future operations.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20"/>
        </w:rPr>
      </w:pPr>
      <w:r>
        <w:rPr>
          <w:rFonts w:ascii="Arial" w:hAnsi="Arial"/>
          <w:color w:val="000000"/>
          <w:sz w:val="20"/>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These risks, uncertainties and other factors are described under "Risk Factors," "Management's Discussion and Analysis of Financial Condition and Results of Operations" and elsewhere in the documents we file with the Securities and Exchange Commission from time to time. We caution you that forward-looking statements are based on a combination of facts and factors currently known by us and our projections of the future, about which we cannot be certain. As a result, the forward-looking statements may not prove to be accurate. The forward-looking statements in this press release represent our views as of the date hereof. We undertake no obligation to update any forward-looking statements for any reason, except as required by law.</w:t>
      </w:r>
    </w:p>
    <w:p>
      <w:pPr>
        <w:pStyle w:val="TextBody"/>
        <w:bidi w:val="0"/>
        <w:spacing w:before="240" w:after="120"/>
        <w:jc w:val="both"/>
        <w:rPr>
          <w:rFonts w:ascii="Arial" w:hAnsi="Arial"/>
          <w:b/>
          <w:color w:val="000000"/>
          <w:sz w:val="20"/>
        </w:rPr>
      </w:pPr>
      <w:r>
        <w:rPr>
          <w:rFonts w:ascii="Arial" w:hAnsi="Arial"/>
          <w:b/>
          <w:color w:val="000000"/>
          <w:sz w:val="20"/>
        </w:rPr>
        <w:t>Use of Non-GAAP Financial Measure</w:t>
      </w:r>
    </w:p>
    <w:p>
      <w:pPr>
        <w:pStyle w:val="TextBody"/>
        <w:bidi w:val="0"/>
        <w:spacing w:before="0" w:after="120"/>
        <w:jc w:val="left"/>
        <w:rPr>
          <w:rFonts w:ascii="Arial" w:hAnsi="Arial"/>
          <w:color w:val="000000"/>
          <w:sz w:val="20"/>
        </w:rPr>
      </w:pPr>
      <w:r>
        <w:rPr>
          <w:rFonts w:ascii="Arial" w:hAnsi="Arial"/>
          <w:color w:val="000000"/>
          <w:sz w:val="20"/>
        </w:rPr>
        <w:t>To supplement our unaudited condensed consolidated statements of operations and unaudited condensed consolidated balance sheets, which are prepared in conformity with generally accepted accounting principles in the United States of America (“GAAP”), this press release also includes references to Adjusted EBITDA, which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share-based compensation expense and revenue interest liability extinguishment loss. We define our segment Adjusted EBITDA in the same way to the extent the net loss attributable to Adaptive Biotechnologies Corporation and adjustments are allocable to each segment. We have provided reconciliations of net loss attributable to Adaptive Biotechnologies Corporation, the most directly comparable GAAP financial measure, to Adjusted EBITDA at the end of this press release.</w:t>
      </w:r>
    </w:p>
    <w:p>
      <w:pPr>
        <w:pStyle w:val="TextBody"/>
        <w:bidi w:val="0"/>
        <w:spacing w:before="0" w:after="120"/>
        <w:jc w:val="left"/>
        <w:rPr>
          <w:rFonts w:ascii="Arial" w:hAnsi="Arial"/>
          <w:color w:val="000000"/>
          <w:sz w:val="20"/>
        </w:rPr>
      </w:pPr>
      <w:r>
        <w:rPr>
          <w:rFonts w:ascii="Arial" w:hAnsi="Arial"/>
          <w:color w:val="000000"/>
          <w:sz w:val="20"/>
        </w:rPr>
        <w:t>Management uses Adjusted EBITDA, including segment Adjusted EBITDA, to evaluate the financial performance of our business and segments and to evaluate the effectiveness of our strategies. We present these figures because we believe it is frequently used by analysts, investors and other interested parties to evaluate companies in our industry and it facilitates comparisons on a consistent basis across reporting periods. Further, we believe it is helpful in highlighting trends in our operating results because it excludes items that are not indicative of our core operating performance.</w:t>
      </w:r>
    </w:p>
    <w:p>
      <w:pPr>
        <w:pStyle w:val="TextBody"/>
        <w:bidi w:val="0"/>
        <w:spacing w:before="0" w:after="120"/>
        <w:jc w:val="left"/>
        <w:rPr>
          <w:rFonts w:ascii="Arial" w:hAnsi="Arial"/>
          <w:color w:val="000000"/>
          <w:sz w:val="20"/>
        </w:rPr>
      </w:pPr>
      <w:r>
        <w:rPr>
          <w:rFonts w:ascii="Arial" w:hAnsi="Arial"/>
          <w:color w:val="000000"/>
          <w:sz w:val="20"/>
        </w:rPr>
        <w:t>Adjusted EBITDA, including segment Adjusted EBITDA, has limitations as an analytical tool and you should not consider it in isolation or as a substitute for analysis of our results as reported under GAAP. We may in the future incur expenses similar to the adjustments we make. In particular, we expect to incur meaningful share-based compensation expense in the future. Other limitations include that Adjusted EBITDA, including segment Adjusted EBITDA, does not reflect: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all expenditures or future requirements for capital expenditures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interest income and interest expense, which is an ongoing element of our costs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income tax (expense) benefit, which may be a necessary element of our costs and ability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replacing the assets being depreciated and amortized, which will often have to be replaced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noncash component of employee compensation expense; </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long-lived assets impairment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earnings or charges resulting from matters we consider not to be reflective, on a recurring basis, of our ongoing operations, such as our restructuring activities, reductions in workforce and our revenue interest liability extinguishment loss.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Adjusted EBITDA, including segment Adjusted EBITDA, may not be comparable to similarly titled measures used by other companies in our industry or across different industries.</w:t>
      </w:r>
    </w:p>
    <w:p>
      <w:pPr>
        <w:pStyle w:val="TextBody"/>
        <w:bidi w:val="0"/>
        <w:spacing w:before="360" w:after="283"/>
        <w:jc w:val="left"/>
        <w:rPr>
          <w:rFonts w:ascii="Times New Roman" w:hAnsi="Times New Roman"/>
          <w:sz w:val="20"/>
        </w:rPr>
      </w:pPr>
      <w:r>
        <w:rPr>
          <w:rFonts w:ascii="Arial" w:hAnsi="Arial"/>
          <w:b/>
          <w:color w:val="000000"/>
          <w:sz w:val="22"/>
        </w:rPr>
        <w:t>ADAPTIVE INVESTORS</w:t>
      </w:r>
      <w:r>
        <w:rPr>
          <w:rFonts w:ascii="Arial" w:hAnsi="Arial"/>
          <w:color w:val="000000"/>
          <w:sz w:val="22"/>
        </w:rPr>
        <w:br/>
      </w:r>
      <w:r>
        <w:rPr>
          <w:rFonts w:ascii="Arial" w:hAnsi="Arial"/>
          <w:color w:val="000000"/>
          <w:sz w:val="20"/>
        </w:rPr>
        <w:t>Karina Calzadilla, Vice President, Investor Relations and FP&amp;A</w:t>
      </w:r>
    </w:p>
    <w:p>
      <w:pPr>
        <w:pStyle w:val="TextBody"/>
        <w:bidi w:val="0"/>
        <w:jc w:val="left"/>
        <w:rPr>
          <w:rFonts w:ascii="Times New Roman" w:hAnsi="Times New Roman"/>
          <w:sz w:val="20"/>
        </w:rPr>
      </w:pPr>
      <w:r>
        <w:rPr>
          <w:rFonts w:ascii="Arial" w:hAnsi="Arial"/>
          <w:color w:val="000000"/>
          <w:sz w:val="20"/>
        </w:rPr>
        <w:t>201-396-1687</w:t>
        <w:br/>
      </w:r>
      <w:r>
        <w:rPr>
          <w:rFonts w:ascii="Arial" w:hAnsi="Arial"/>
          <w:sz w:val="20"/>
        </w:rPr>
        <w:t>investors@adaptivebiotech.com</w:t>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ADAPTIVE MEDIA</w:t>
      </w:r>
      <w:r>
        <w:rPr>
          <w:rFonts w:ascii="Arial" w:hAnsi="Arial"/>
          <w:color w:val="000000"/>
          <w:sz w:val="22"/>
        </w:rPr>
        <w:br/>
      </w:r>
      <w:r>
        <w:rPr>
          <w:rFonts w:ascii="Arial" w:hAnsi="Arial"/>
          <w:color w:val="000000"/>
          <w:sz w:val="20"/>
        </w:rPr>
        <w:t>Erica Jones, Associate Corporate Communications Director</w:t>
      </w:r>
    </w:p>
    <w:p>
      <w:pPr>
        <w:pStyle w:val="TextBody"/>
        <w:bidi w:val="0"/>
        <w:jc w:val="left"/>
        <w:rPr>
          <w:rFonts w:ascii="Times New Roman" w:hAnsi="Times New Roman"/>
          <w:sz w:val="20"/>
        </w:rPr>
      </w:pPr>
      <w:r>
        <w:rPr>
          <w:rFonts w:ascii="Arial" w:hAnsi="Arial"/>
          <w:color w:val="000000"/>
          <w:sz w:val="20"/>
        </w:rPr>
        <w:t>206-279-2423</w:t>
        <w:br/>
      </w:r>
      <w:r>
        <w:rPr>
          <w:rFonts w:ascii="Arial" w:hAnsi="Arial"/>
          <w:sz w:val="20"/>
        </w:rPr>
        <w:t>media@adaptivebiotech.com</w:t>
      </w:r>
      <w:r>
        <w:rPr>
          <w:rFonts w:ascii="Times New Roman" w:hAnsi="Times New Roman"/>
          <w:color w:val="000000"/>
          <w:sz w:val="20"/>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Adaptive Biotechnologies</w:t>
      </w:r>
    </w:p>
    <w:p>
      <w:pPr>
        <w:pStyle w:val="TextBody"/>
        <w:bidi w:val="0"/>
        <w:jc w:val="center"/>
        <w:rPr>
          <w:rFonts w:ascii="Arial" w:hAnsi="Arial"/>
          <w:color w:val="000000"/>
          <w:sz w:val="20"/>
        </w:rPr>
      </w:pPr>
      <w:r>
        <w:rPr>
          <w:rFonts w:ascii="Arial" w:hAnsi="Arial"/>
          <w:color w:val="000000"/>
          <w:sz w:val="20"/>
        </w:rPr>
        <w:t>Condensed Consolidated Statements of Operations</w:t>
      </w:r>
    </w:p>
    <w:p>
      <w:pPr>
        <w:pStyle w:val="TextBody"/>
        <w:bidi w:val="0"/>
        <w:jc w:val="center"/>
        <w:rPr>
          <w:rFonts w:ascii="Arial" w:hAnsi="Arial"/>
          <w:color w:val="000000"/>
          <w:sz w:val="20"/>
        </w:rPr>
      </w:pPr>
      <w:r>
        <w:rPr>
          <w:rFonts w:ascii="Arial" w:hAnsi="Arial"/>
          <w:color w:val="000000"/>
          <w:sz w:val="20"/>
        </w:rPr>
        <w:t>(in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10767" w:type="dxa"/>
        <w:jc w:val="left"/>
        <w:tblInd w:w="0" w:type="dxa"/>
        <w:tblLayout w:type="fixed"/>
        <w:tblCellMar>
          <w:top w:w="28" w:type="dxa"/>
          <w:left w:w="28" w:type="dxa"/>
          <w:bottom w:w="28" w:type="dxa"/>
          <w:right w:w="28" w:type="dxa"/>
        </w:tblCellMar>
      </w:tblPr>
      <w:tblGrid>
        <w:gridCol w:w="1906"/>
        <w:gridCol w:w="746"/>
        <w:gridCol w:w="211"/>
        <w:gridCol w:w="1141"/>
        <w:gridCol w:w="166"/>
        <w:gridCol w:w="146"/>
        <w:gridCol w:w="211"/>
        <w:gridCol w:w="1141"/>
        <w:gridCol w:w="746"/>
        <w:gridCol w:w="746"/>
        <w:gridCol w:w="211"/>
        <w:gridCol w:w="1141"/>
        <w:gridCol w:w="166"/>
        <w:gridCol w:w="146"/>
        <w:gridCol w:w="211"/>
        <w:gridCol w:w="1141"/>
        <w:gridCol w:w="591"/>
      </w:tblGrid>
      <w:tr>
        <w:trPr/>
        <w:tc>
          <w:tcPr>
            <w:tcW w:w="190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17,999</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83,915</w:t>
            </w:r>
          </w:p>
        </w:tc>
        <w:tc>
          <w:tcPr>
            <w:tcW w:w="7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(25,036</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Net loss (income) attributable to noncontrolling interest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 per share attributable to Adaptive Biotechnologies Corporation common shareholders,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Adaptive Biotechnologies Corporation common shareholders,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152,082,284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157,700,126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150,646,632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Adaptive Biotechnologies</w:t>
      </w:r>
    </w:p>
    <w:p>
      <w:pPr>
        <w:pStyle w:val="TextBody"/>
        <w:bidi w:val="0"/>
        <w:jc w:val="center"/>
        <w:rPr>
          <w:rFonts w:ascii="Arial" w:hAnsi="Arial"/>
          <w:color w:val="000000"/>
          <w:sz w:val="20"/>
        </w:rPr>
      </w:pPr>
      <w:r>
        <w:rPr>
          <w:rFonts w:ascii="Arial" w:hAnsi="Arial"/>
          <w:color w:val="000000"/>
          <w:sz w:val="20"/>
        </w:rPr>
        <w:t>Condensed Consolidated Balance Sheets</w:t>
        <w:b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46"/>
        <w:gridCol w:w="146"/>
        <w:gridCol w:w="211"/>
        <w:gridCol w:w="991"/>
        <w:gridCol w:w="166"/>
        <w:gridCol w:w="146"/>
        <w:gridCol w:w="225"/>
        <w:gridCol w:w="1061"/>
        <w:gridCol w:w="613"/>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 (amortized cost of $174,510 and $156,246,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marketable securities (amortized cost of $27,564 and $13,220,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512,736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revenue interest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liability, net,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at June 30, 2026 and December 31, 2025;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340,000,000 shares authorized at June 30, 2026 and December 31, 2025; 159,059,622 and 153,779,418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(1,363,323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Adaptive Biotechnologies Corporation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512,736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r>
        <w:rPr>
          <w:rFonts w:ascii="Arial" w:hAnsi="Arial"/>
          <w:b/>
          <w:color w:val="000000"/>
          <w:sz w:val="20"/>
        </w:rPr>
        <w:t>Adjusted EBITDA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following is a reconciliation of net loss attributable to Adaptive Biotechnologies Corporation, the most directly comparable GAAP financial measure, to Adjusted EBITDA for the periods presented (in thousands, unaudited):</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4891"/>
        <w:gridCol w:w="146"/>
        <w:gridCol w:w="215"/>
        <w:gridCol w:w="754"/>
        <w:gridCol w:w="169"/>
        <w:gridCol w:w="148"/>
        <w:gridCol w:w="215"/>
        <w:gridCol w:w="754"/>
        <w:gridCol w:w="166"/>
        <w:gridCol w:w="146"/>
        <w:gridCol w:w="211"/>
        <w:gridCol w:w="736"/>
        <w:gridCol w:w="166"/>
        <w:gridCol w:w="146"/>
        <w:gridCol w:w="211"/>
        <w:gridCol w:w="736"/>
        <w:gridCol w:w="395"/>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Arial" w:hAnsi="Arial"/>
          <w:b/>
          <w:color w:val="000000"/>
          <w:sz w:val="20"/>
        </w:rPr>
      </w:pPr>
      <w:r>
        <w:rPr>
          <w:rFonts w:ascii="Arial" w:hAnsi="Arial"/>
          <w:b/>
          <w:color w:val="000000"/>
          <w:sz w:val="20"/>
        </w:rPr>
        <w:t>Segment Information (Including Segment Adjusted EBITDA)</w:t>
      </w:r>
    </w:p>
    <w:p>
      <w:pPr>
        <w:pStyle w:val="TextBody"/>
        <w:bidi w:val="0"/>
        <w:jc w:val="left"/>
        <w:rPr>
          <w:rFonts w:ascii="Times New Roman" w:hAnsi="Times New Roman"/>
          <w:sz w:val="20"/>
        </w:rPr>
      </w:pPr>
      <w:r>
        <w:rPr>
          <w:rFonts w:ascii="Arial" w:hAnsi="Arial"/>
          <w:color w:val="000000"/>
          <w:sz w:val="20"/>
        </w:rPr>
        <w:t>The following sets forth segment information for the periods presented (in thousands, 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3"/>
        <w:gridCol w:w="146"/>
        <w:gridCol w:w="215"/>
        <w:gridCol w:w="755"/>
        <w:gridCol w:w="169"/>
        <w:gridCol w:w="148"/>
        <w:gridCol w:w="215"/>
        <w:gridCol w:w="755"/>
        <w:gridCol w:w="166"/>
        <w:gridCol w:w="146"/>
        <w:gridCol w:w="211"/>
        <w:gridCol w:w="781"/>
        <w:gridCol w:w="166"/>
        <w:gridCol w:w="146"/>
        <w:gridCol w:w="211"/>
        <w:gridCol w:w="736"/>
        <w:gridCol w:w="396"/>
      </w:tblGrid>
      <w:tr>
        <w:trPr/>
        <w:tc>
          <w:tcPr>
            <w:tcW w:w="4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(Loss)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Immune Medicine</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Loss to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Expenses </w:t>
      </w:r>
      <w:r>
        <w:rPr>
          <w:rFonts w:ascii="Times New Roman" w:hAnsi="Times New Roman"/>
          <w:color w:val="231F20"/>
          <w:sz w:val="20"/>
        </w:rPr>
        <w:t>related to Digital Biotechnologies, Inc. are no longer included in the Immune Medicine segment.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3133</Words>
  <Characters>18013</Characters>
  <CharactersWithSpaces>21429</CharactersWithSpaces>
  <Paragraphs>1417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