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ADAPTIVE BIOTECHNOLOGIES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460" w:type="dxa"/>
        <w:tblCellMar>
          <w:top w:w="0" w:type="dxa"/>
          <w:left w:w="0" w:type="dxa"/>
          <w:bottom w:w="0" w:type="dxa"/>
          <w:right w:w="0" w:type="dxa"/>
        </w:tblCellMar>
      </w:tblPr>
      <w:tr>
        <w:trPr>
          <w:trHeight w:val="222"/>
        </w:trPr>
        <w:tc>
          <w:tcPr>
            <w:tcW w:w="3680" w:type="dxa"/>
            <w:vAlign w:val="bottom"/>
          </w:tcPr>
          <w:p>
            <w:pPr>
              <w:jc w:val="center"/>
              <w:ind w:right="721"/>
              <w:spacing w:after="0"/>
              <w:rPr>
                <w:sz w:val="20"/>
                <w:szCs w:val="20"/>
                <w:color w:val="auto"/>
              </w:rPr>
            </w:pPr>
            <w:r>
              <w:rPr>
                <w:rFonts w:ascii="Arial" w:cs="Arial" w:eastAsia="Arial" w:hAnsi="Arial"/>
                <w:sz w:val="18"/>
                <w:szCs w:val="18"/>
                <w:b w:val="1"/>
                <w:bCs w:val="1"/>
                <w:color w:val="auto"/>
                <w:w w:val="89"/>
              </w:rPr>
              <w:t>Washington</w:t>
            </w:r>
          </w:p>
        </w:tc>
        <w:tc>
          <w:tcPr>
            <w:tcW w:w="3600" w:type="dxa"/>
            <w:vAlign w:val="bottom"/>
          </w:tcPr>
          <w:p>
            <w:pPr>
              <w:jc w:val="right"/>
              <w:ind w:right="1561"/>
              <w:spacing w:after="0"/>
              <w:rPr>
                <w:sz w:val="20"/>
                <w:szCs w:val="20"/>
                <w:color w:val="auto"/>
              </w:rPr>
            </w:pPr>
            <w:r>
              <w:rPr>
                <w:rFonts w:ascii="Arial" w:cs="Arial" w:eastAsia="Arial" w:hAnsi="Arial"/>
                <w:sz w:val="18"/>
                <w:szCs w:val="18"/>
                <w:b w:val="1"/>
                <w:bCs w:val="1"/>
                <w:color w:val="auto"/>
              </w:rPr>
              <w:t>001-38957</w:t>
            </w:r>
          </w:p>
        </w:tc>
        <w:tc>
          <w:tcPr>
            <w:tcW w:w="2300" w:type="dxa"/>
            <w:vAlign w:val="bottom"/>
          </w:tcPr>
          <w:p>
            <w:pPr>
              <w:jc w:val="right"/>
              <w:ind w:right="3"/>
              <w:spacing w:after="0"/>
              <w:rPr>
                <w:sz w:val="20"/>
                <w:szCs w:val="20"/>
                <w:color w:val="auto"/>
              </w:rPr>
            </w:pPr>
            <w:r>
              <w:rPr>
                <w:rFonts w:ascii="Arial" w:cs="Arial" w:eastAsia="Arial" w:hAnsi="Arial"/>
                <w:sz w:val="18"/>
                <w:szCs w:val="18"/>
                <w:b w:val="1"/>
                <w:bCs w:val="1"/>
                <w:color w:val="auto"/>
              </w:rPr>
              <w:t>27-0907024</w:t>
            </w:r>
          </w:p>
        </w:tc>
      </w:tr>
      <w:tr>
        <w:trPr>
          <w:trHeight w:val="149"/>
        </w:trPr>
        <w:tc>
          <w:tcPr>
            <w:tcW w:w="3680" w:type="dxa"/>
            <w:vAlign w:val="bottom"/>
          </w:tcPr>
          <w:p>
            <w:pPr>
              <w:jc w:val="center"/>
              <w:ind w:right="72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600" w:type="dxa"/>
            <w:vAlign w:val="bottom"/>
          </w:tcPr>
          <w:p>
            <w:pPr>
              <w:spacing w:after="0"/>
              <w:rPr>
                <w:sz w:val="12"/>
                <w:szCs w:val="12"/>
                <w:color w:val="auto"/>
              </w:rPr>
            </w:pPr>
          </w:p>
        </w:tc>
        <w:tc>
          <w:tcPr>
            <w:tcW w:w="2300" w:type="dxa"/>
            <w:vAlign w:val="bottom"/>
          </w:tcPr>
          <w:p>
            <w:pPr>
              <w:jc w:val="center"/>
              <w:ind w:left="1183"/>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680" w:type="dxa"/>
            <w:vAlign w:val="bottom"/>
          </w:tcPr>
          <w:p>
            <w:pPr>
              <w:jc w:val="center"/>
              <w:ind w:right="721"/>
              <w:spacing w:after="0"/>
              <w:rPr>
                <w:sz w:val="20"/>
                <w:szCs w:val="20"/>
                <w:color w:val="auto"/>
              </w:rPr>
            </w:pPr>
            <w:r>
              <w:rPr>
                <w:rFonts w:ascii="Arial" w:cs="Arial" w:eastAsia="Arial" w:hAnsi="Arial"/>
                <w:sz w:val="14"/>
                <w:szCs w:val="14"/>
                <w:b w:val="1"/>
                <w:bCs w:val="1"/>
                <w:color w:val="auto"/>
                <w:w w:val="89"/>
              </w:rPr>
              <w:t>of Incorporation)</w:t>
            </w:r>
          </w:p>
        </w:tc>
        <w:tc>
          <w:tcPr>
            <w:tcW w:w="3600" w:type="dxa"/>
            <w:vAlign w:val="bottom"/>
          </w:tcPr>
          <w:p>
            <w:pPr>
              <w:jc w:val="center"/>
              <w:ind w:right="381"/>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63"/>
              <w:spacing w:after="0"/>
              <w:rPr>
                <w:sz w:val="20"/>
                <w:szCs w:val="20"/>
                <w:color w:val="auto"/>
              </w:rPr>
            </w:pPr>
            <w:r>
              <w:rPr>
                <w:rFonts w:ascii="Arial" w:cs="Arial" w:eastAsia="Arial" w:hAnsi="Arial"/>
                <w:sz w:val="14"/>
                <w:szCs w:val="14"/>
                <w:b w:val="1"/>
                <w:bCs w:val="1"/>
                <w:color w:val="auto"/>
                <w:w w:val="89"/>
              </w:rPr>
              <w:t>Identification No.)</w:t>
            </w:r>
          </w:p>
        </w:tc>
      </w:tr>
      <w:tr>
        <w:trPr>
          <w:trHeight w:val="333"/>
        </w:trPr>
        <w:tc>
          <w:tcPr>
            <w:tcW w:w="3680" w:type="dxa"/>
            <w:vAlign w:val="bottom"/>
          </w:tcPr>
          <w:p>
            <w:pPr>
              <w:jc w:val="center"/>
              <w:ind w:right="701"/>
              <w:spacing w:after="0"/>
              <w:rPr>
                <w:sz w:val="20"/>
                <w:szCs w:val="20"/>
                <w:color w:val="auto"/>
              </w:rPr>
            </w:pPr>
            <w:r>
              <w:rPr>
                <w:rFonts w:ascii="Arial" w:cs="Arial" w:eastAsia="Arial" w:hAnsi="Arial"/>
                <w:sz w:val="18"/>
                <w:szCs w:val="18"/>
                <w:b w:val="1"/>
                <w:bCs w:val="1"/>
                <w:color w:val="auto"/>
                <w:w w:val="89"/>
              </w:rPr>
              <w:t>1551 Eastlake Avenue East, Suite 200,</w:t>
            </w:r>
          </w:p>
        </w:tc>
        <w:tc>
          <w:tcPr>
            <w:tcW w:w="36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2"/>
        </w:trPr>
        <w:tc>
          <w:tcPr>
            <w:tcW w:w="3680" w:type="dxa"/>
            <w:vAlign w:val="bottom"/>
          </w:tcPr>
          <w:p>
            <w:pPr>
              <w:jc w:val="center"/>
              <w:ind w:right="701"/>
              <w:spacing w:after="0"/>
              <w:rPr>
                <w:sz w:val="20"/>
                <w:szCs w:val="20"/>
                <w:color w:val="auto"/>
              </w:rPr>
            </w:pPr>
            <w:r>
              <w:rPr>
                <w:rFonts w:ascii="Arial" w:cs="Arial" w:eastAsia="Arial" w:hAnsi="Arial"/>
                <w:sz w:val="18"/>
                <w:szCs w:val="18"/>
                <w:b w:val="1"/>
                <w:bCs w:val="1"/>
                <w:color w:val="auto"/>
                <w:w w:val="89"/>
              </w:rPr>
              <w:t>Seattle, Washington</w:t>
            </w:r>
          </w:p>
        </w:tc>
        <w:tc>
          <w:tcPr>
            <w:tcW w:w="3600" w:type="dxa"/>
            <w:vAlign w:val="bottom"/>
          </w:tcPr>
          <w:p>
            <w:pPr>
              <w:spacing w:after="0"/>
              <w:rPr>
                <w:sz w:val="19"/>
                <w:szCs w:val="19"/>
                <w:color w:val="auto"/>
              </w:rPr>
            </w:pPr>
          </w:p>
        </w:tc>
        <w:tc>
          <w:tcPr>
            <w:tcW w:w="2300" w:type="dxa"/>
            <w:vAlign w:val="bottom"/>
          </w:tcPr>
          <w:p>
            <w:pPr>
              <w:jc w:val="right"/>
              <w:ind w:right="223"/>
              <w:spacing w:after="0"/>
              <w:rPr>
                <w:sz w:val="20"/>
                <w:szCs w:val="20"/>
                <w:color w:val="auto"/>
              </w:rPr>
            </w:pPr>
            <w:r>
              <w:rPr>
                <w:rFonts w:ascii="Arial" w:cs="Arial" w:eastAsia="Arial" w:hAnsi="Arial"/>
                <w:sz w:val="18"/>
                <w:szCs w:val="18"/>
                <w:b w:val="1"/>
                <w:bCs w:val="1"/>
                <w:color w:val="auto"/>
              </w:rPr>
              <w:t>98102</w:t>
            </w:r>
          </w:p>
        </w:tc>
      </w:tr>
      <w:tr>
        <w:trPr>
          <w:trHeight w:val="174"/>
        </w:trPr>
        <w:tc>
          <w:tcPr>
            <w:tcW w:w="3680" w:type="dxa"/>
            <w:vAlign w:val="bottom"/>
          </w:tcPr>
          <w:p>
            <w:pPr>
              <w:jc w:val="center"/>
              <w:ind w:right="70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00" w:type="dxa"/>
            <w:vAlign w:val="bottom"/>
          </w:tcPr>
          <w:p>
            <w:pPr>
              <w:spacing w:after="0"/>
              <w:rPr>
                <w:sz w:val="15"/>
                <w:szCs w:val="15"/>
                <w:color w:val="auto"/>
              </w:rPr>
            </w:pPr>
          </w:p>
        </w:tc>
        <w:tc>
          <w:tcPr>
            <w:tcW w:w="2300" w:type="dxa"/>
            <w:vAlign w:val="bottom"/>
          </w:tcPr>
          <w:p>
            <w:pPr>
              <w:jc w:val="center"/>
              <w:ind w:left="1163"/>
              <w:spacing w:after="0"/>
              <w:rPr>
                <w:sz w:val="20"/>
                <w:szCs w:val="20"/>
                <w:color w:val="auto"/>
              </w:rPr>
            </w:pPr>
            <w:r>
              <w:rPr>
                <w:rFonts w:ascii="Arial" w:cs="Arial" w:eastAsia="Arial" w:hAnsi="Arial"/>
                <w:sz w:val="14"/>
                <w:szCs w:val="14"/>
                <w:b w:val="1"/>
                <w:bCs w:val="1"/>
                <w:color w:val="auto"/>
                <w:w w:val="89"/>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659-0067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gridSpan w:val="2"/>
            <w:vMerge w:val="restart"/>
          </w:tcPr>
          <w:p>
            <w:pPr>
              <w:ind w:left="162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ADPT</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3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541020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ind w:left="1000" w:right="340" w:hanging="902"/>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February 13, 2020, the Compensation Committee of the Board of Directors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of Adaptive Biotechnologies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met to conduct its annual review of the compensation of the Company’s employees, including its executive officers (the “</w:t>
      </w:r>
      <w:r>
        <w:rPr>
          <w:rFonts w:ascii="Arial" w:cs="Arial" w:eastAsia="Arial" w:hAnsi="Arial"/>
          <w:sz w:val="16"/>
          <w:szCs w:val="16"/>
          <w:b w:val="1"/>
          <w:bCs w:val="1"/>
          <w:i w:val="1"/>
          <w:iCs w:val="1"/>
          <w:color w:val="auto"/>
        </w:rPr>
        <w:t>Compensation Meeting</w:t>
      </w:r>
      <w:r>
        <w:rPr>
          <w:rFonts w:ascii="Arial" w:cs="Arial" w:eastAsia="Arial" w:hAnsi="Arial"/>
          <w:sz w:val="16"/>
          <w:szCs w:val="16"/>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Cash Bonus Payments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the Compensation Meeting, the Committee authorized and approved non-equity incentive plan compensation with respect to performance in 2019 in the form of cash bonus payments to certain of the Company’s employees, including named executive officers identified in the Company’s prospectus dated January 23, 2020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related registration statement on Form S-1 (No. 333-235989). The compensation to the named executive officers was set forth in the Prospectus, except that the amounts of non-equity incentive plan compensation payable to Chad Robins, Chief Executive Officer, and Dr. Harlan Robins, Chief Scientific Officer, were not calculable at the time of filing the Prospectus.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specific cash bonus payments to these named executive officers.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Non-Equity</w:t>
            </w:r>
          </w:p>
        </w:tc>
        <w:tc>
          <w:tcPr>
            <w:tcW w:w="148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Incentive Plan</w:t>
            </w:r>
          </w:p>
        </w:tc>
        <w:tc>
          <w:tcPr>
            <w:tcW w:w="148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Compensation</w:t>
            </w:r>
          </w:p>
        </w:tc>
        <w:tc>
          <w:tcPr>
            <w:tcW w:w="148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1480" w:type="dxa"/>
            <w:vAlign w:val="bottom"/>
          </w:tcPr>
          <w:p>
            <w:pPr>
              <w:ind w:left="520"/>
              <w:spacing w:after="0"/>
              <w:rPr>
                <w:sz w:val="20"/>
                <w:szCs w:val="20"/>
                <w:color w:val="auto"/>
              </w:rPr>
            </w:pPr>
            <w:r>
              <w:rPr>
                <w:rFonts w:ascii="Arial" w:cs="Arial" w:eastAsia="Arial" w:hAnsi="Arial"/>
                <w:sz w:val="18"/>
                <w:szCs w:val="18"/>
                <w:b w:val="1"/>
                <w:bCs w:val="1"/>
                <w:color w:val="auto"/>
              </w:rPr>
              <w:t>($)</w:t>
            </w:r>
          </w:p>
        </w:tc>
      </w:tr>
      <w:tr>
        <w:trPr>
          <w:trHeight w:val="149"/>
        </w:trPr>
        <w:tc>
          <w:tcPr>
            <w:tcW w:w="51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r>
      <w:tr>
        <w:trPr>
          <w:trHeight w:val="22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Chad Robins</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385,950</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2,856,181</w:t>
            </w:r>
          </w:p>
        </w:tc>
      </w:tr>
      <w:tr>
        <w:trPr>
          <w:trHeight w:val="134"/>
        </w:trPr>
        <w:tc>
          <w:tcPr>
            <w:tcW w:w="5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30"/>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Harlan Robins, PhD</w:t>
            </w:r>
          </w:p>
        </w:tc>
        <w:tc>
          <w:tcPr>
            <w:tcW w:w="1880" w:type="dxa"/>
            <w:vAlign w:val="bottom"/>
          </w:tcPr>
          <w:p>
            <w:pPr>
              <w:jc w:val="right"/>
              <w:spacing w:after="0"/>
              <w:rPr>
                <w:sz w:val="20"/>
                <w:szCs w:val="20"/>
                <w:color w:val="auto"/>
              </w:rPr>
            </w:pPr>
            <w:r>
              <w:rPr>
                <w:rFonts w:ascii="Arial" w:cs="Arial" w:eastAsia="Arial" w:hAnsi="Arial"/>
                <w:sz w:val="18"/>
                <w:szCs w:val="18"/>
                <w:color w:val="auto"/>
              </w:rPr>
              <w:t>237,500</w:t>
            </w:r>
          </w:p>
        </w:tc>
        <w:tc>
          <w:tcPr>
            <w:tcW w:w="260" w:type="dxa"/>
            <w:vAlign w:val="bottom"/>
          </w:tcPr>
          <w:p>
            <w:pPr>
              <w:spacing w:after="0"/>
              <w:rPr>
                <w:sz w:val="20"/>
                <w:szCs w:val="20"/>
                <w:color w:val="auto"/>
              </w:rPr>
            </w:pPr>
          </w:p>
        </w:tc>
        <w:tc>
          <w:tcPr>
            <w:tcW w:w="1480" w:type="dxa"/>
            <w:vAlign w:val="bottom"/>
          </w:tcPr>
          <w:p>
            <w:pPr>
              <w:ind w:left="540"/>
              <w:spacing w:after="0"/>
              <w:rPr>
                <w:sz w:val="20"/>
                <w:szCs w:val="20"/>
                <w:color w:val="auto"/>
              </w:rPr>
            </w:pPr>
            <w:r>
              <w:rPr>
                <w:rFonts w:ascii="Arial" w:cs="Arial" w:eastAsia="Arial" w:hAnsi="Arial"/>
                <w:sz w:val="18"/>
                <w:szCs w:val="18"/>
                <w:color w:val="auto"/>
              </w:rPr>
              <w:t>2,647,022</w:t>
            </w:r>
          </w:p>
        </w:tc>
      </w:tr>
    </w:tbl>
    <w:p>
      <w:pPr>
        <w:spacing w:after="0" w:line="336"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Committee, in its sole discretion, authorized and approved the cash bonuses for fiscal year 2019 for both of these named executive officers. Bonuses were determined based upon: (a) corporate goals set by the Committee deemed appropriate given the performance of the Company, including revenue achievements and milestone achievements related to long-term projects, (b) the individual’s base salary, and (c) the individual’s bonus target rate.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Adaptive Biotechnologies Corporation</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Date: February 18, 2020</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Chad Cohen</w:t>
            </w:r>
          </w:p>
        </w:tc>
      </w:tr>
      <w:tr>
        <w:trPr>
          <w:trHeight w:val="222"/>
        </w:trPr>
        <w:tc>
          <w:tcPr>
            <w:tcW w:w="38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Chad Cohen</w:t>
            </w:r>
          </w:p>
        </w:tc>
      </w:tr>
      <w:tr>
        <w:trPr>
          <w:trHeight w:val="230"/>
        </w:trPr>
        <w:tc>
          <w:tcPr>
            <w:tcW w:w="38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2020-02-18T06:50:50Z</dcterms:created>
  <dcterms:modified xsi:type="dcterms:W3CDTF">2020-02-18T06:50:50Z</dcterms:modified>
</cp:coreProperties>
</file>