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ADAPTIVE BIOTECHNOLOGIES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22"/>
        </w:trPr>
        <w:tc>
          <w:tcPr>
            <w:tcW w:w="3660" w:type="dxa"/>
            <w:vAlign w:val="bottom"/>
          </w:tcPr>
          <w:p>
            <w:pPr>
              <w:jc w:val="center"/>
              <w:ind w:right="661"/>
              <w:spacing w:after="0"/>
              <w:rPr>
                <w:sz w:val="20"/>
                <w:szCs w:val="20"/>
                <w:color w:val="auto"/>
              </w:rPr>
            </w:pPr>
            <w:r>
              <w:rPr>
                <w:rFonts w:ascii="Arial" w:cs="Arial" w:eastAsia="Arial" w:hAnsi="Arial"/>
                <w:sz w:val="18"/>
                <w:szCs w:val="18"/>
                <w:b w:val="1"/>
                <w:bCs w:val="1"/>
                <w:color w:val="auto"/>
                <w:w w:val="89"/>
              </w:rPr>
              <w:t>Washington</w:t>
            </w:r>
          </w:p>
        </w:tc>
        <w:tc>
          <w:tcPr>
            <w:tcW w:w="354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001-38957</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27-0907024</w:t>
            </w:r>
          </w:p>
        </w:tc>
      </w:tr>
      <w:tr>
        <w:trPr>
          <w:trHeight w:val="148"/>
        </w:trPr>
        <w:tc>
          <w:tcPr>
            <w:tcW w:w="3660" w:type="dxa"/>
            <w:vAlign w:val="bottom"/>
          </w:tcPr>
          <w:p>
            <w:pPr>
              <w:jc w:val="center"/>
              <w:ind w:right="661"/>
              <w:spacing w:after="0"/>
              <w:rPr>
                <w:sz w:val="20"/>
                <w:szCs w:val="20"/>
                <w:color w:val="auto"/>
              </w:rPr>
            </w:pPr>
            <w:r>
              <w:rPr>
                <w:rFonts w:ascii="Arial" w:cs="Arial" w:eastAsia="Arial" w:hAnsi="Arial"/>
                <w:sz w:val="13"/>
                <w:szCs w:val="13"/>
                <w:b w:val="1"/>
                <w:bCs w:val="1"/>
                <w:color w:val="auto"/>
                <w:w w:val="95"/>
              </w:rPr>
              <w:t>(State or Other Jurisdiction</w:t>
            </w:r>
          </w:p>
        </w:tc>
        <w:tc>
          <w:tcPr>
            <w:tcW w:w="354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660" w:type="dxa"/>
            <w:vAlign w:val="bottom"/>
          </w:tcPr>
          <w:p>
            <w:pPr>
              <w:jc w:val="center"/>
              <w:ind w:right="661"/>
              <w:spacing w:after="0"/>
              <w:rPr>
                <w:sz w:val="20"/>
                <w:szCs w:val="20"/>
                <w:color w:val="auto"/>
              </w:rPr>
            </w:pPr>
            <w:r>
              <w:rPr>
                <w:rFonts w:ascii="Arial" w:cs="Arial" w:eastAsia="Arial" w:hAnsi="Arial"/>
                <w:sz w:val="13"/>
                <w:szCs w:val="13"/>
                <w:b w:val="1"/>
                <w:bCs w:val="1"/>
                <w:color w:val="auto"/>
                <w:w w:val="96"/>
              </w:rPr>
              <w:t>of Incorporation)</w:t>
            </w:r>
          </w:p>
        </w:tc>
        <w:tc>
          <w:tcPr>
            <w:tcW w:w="3540" w:type="dxa"/>
            <w:vAlign w:val="bottom"/>
          </w:tcPr>
          <w:p>
            <w:pPr>
              <w:jc w:val="center"/>
              <w:ind w:right="381"/>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660" w:type="dxa"/>
            <w:vAlign w:val="bottom"/>
          </w:tcPr>
          <w:p>
            <w:pPr>
              <w:jc w:val="center"/>
              <w:ind w:right="681"/>
              <w:spacing w:after="0"/>
              <w:rPr>
                <w:sz w:val="20"/>
                <w:szCs w:val="20"/>
                <w:color w:val="auto"/>
              </w:rPr>
            </w:pPr>
            <w:r>
              <w:rPr>
                <w:rFonts w:ascii="Arial" w:cs="Arial" w:eastAsia="Arial" w:hAnsi="Arial"/>
                <w:sz w:val="18"/>
                <w:szCs w:val="18"/>
                <w:b w:val="1"/>
                <w:bCs w:val="1"/>
                <w:color w:val="auto"/>
                <w:w w:val="89"/>
              </w:rPr>
              <w:t>1551 Eastlake Avenue East, Suite 200,</w:t>
            </w:r>
          </w:p>
        </w:tc>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660" w:type="dxa"/>
            <w:vAlign w:val="bottom"/>
          </w:tcPr>
          <w:p>
            <w:pPr>
              <w:jc w:val="center"/>
              <w:ind w:right="661"/>
              <w:spacing w:after="0"/>
              <w:rPr>
                <w:sz w:val="20"/>
                <w:szCs w:val="20"/>
                <w:color w:val="auto"/>
              </w:rPr>
            </w:pPr>
            <w:r>
              <w:rPr>
                <w:rFonts w:ascii="Arial" w:cs="Arial" w:eastAsia="Arial" w:hAnsi="Arial"/>
                <w:sz w:val="18"/>
                <w:szCs w:val="18"/>
                <w:b w:val="1"/>
                <w:bCs w:val="1"/>
                <w:color w:val="auto"/>
                <w:w w:val="88"/>
              </w:rPr>
              <w:t>Seattle, Washington</w:t>
            </w:r>
          </w:p>
        </w:tc>
        <w:tc>
          <w:tcPr>
            <w:tcW w:w="354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Arial" w:cs="Arial" w:eastAsia="Arial" w:hAnsi="Arial"/>
                <w:sz w:val="18"/>
                <w:szCs w:val="18"/>
                <w:b w:val="1"/>
                <w:bCs w:val="1"/>
                <w:color w:val="auto"/>
              </w:rPr>
              <w:t>98102</w:t>
            </w:r>
          </w:p>
        </w:tc>
      </w:tr>
      <w:tr>
        <w:trPr>
          <w:trHeight w:val="174"/>
        </w:trPr>
        <w:tc>
          <w:tcPr>
            <w:tcW w:w="3660" w:type="dxa"/>
            <w:vAlign w:val="bottom"/>
          </w:tcPr>
          <w:p>
            <w:pPr>
              <w:jc w:val="center"/>
              <w:ind w:right="6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5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659-0067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ADPT</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February 11, 2021, the Compensation Committee of the Board of Directors of Adaptive Biotechnologies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determined to begin granting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to the Company’s executive officers, to be first granted on March 4, 2021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Each RSU represent</w:t>
      </w:r>
      <w:r>
        <w:rPr>
          <w:rFonts w:ascii="Arial" w:cs="Arial" w:eastAsia="Arial" w:hAnsi="Arial"/>
          <w:sz w:val="16"/>
          <w:szCs w:val="16"/>
          <w:color w:val="auto"/>
          <w:strike w:val="1"/>
        </w:rPr>
        <w:t>s</w:t>
      </w:r>
      <w:r>
        <w:rPr>
          <w:rFonts w:ascii="Arial" w:cs="Arial" w:eastAsia="Arial" w:hAnsi="Arial"/>
          <w:sz w:val="16"/>
          <w:szCs w:val="16"/>
          <w:color w:val="auto"/>
        </w:rPr>
        <w:t xml:space="preserve"> a right to receive one share of the Company’s common stock upon vesting. The RSUs vest in 25% increments on each of the first four anniversaries of the Grant Date. The RSUs granted to each of the Company’s named executive officers on March 4, 2021 are set forth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3140" w:type="dxa"/>
            <w:vAlign w:val="bottom"/>
          </w:tcPr>
          <w:p>
            <w:pPr>
              <w:jc w:val="right"/>
              <w:ind w:right="910"/>
              <w:spacing w:after="0"/>
              <w:rPr>
                <w:sz w:val="20"/>
                <w:szCs w:val="20"/>
                <w:color w:val="auto"/>
              </w:rPr>
            </w:pPr>
            <w:r>
              <w:rPr>
                <w:rFonts w:ascii="Arial" w:cs="Arial" w:eastAsia="Arial" w:hAnsi="Arial"/>
                <w:sz w:val="18"/>
                <w:szCs w:val="18"/>
                <w:b w:val="1"/>
                <w:bCs w:val="1"/>
                <w:color w:val="auto"/>
              </w:rPr>
              <w:t>RSUs Granted</w:t>
            </w: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31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Chad Robins</w:t>
            </w:r>
          </w:p>
        </w:tc>
        <w:tc>
          <w:tcPr>
            <w:tcW w:w="3140" w:type="dxa"/>
            <w:vAlign w:val="bottom"/>
          </w:tcPr>
          <w:p>
            <w:pPr>
              <w:jc w:val="right"/>
              <w:ind w:right="910"/>
              <w:spacing w:after="0"/>
              <w:rPr>
                <w:sz w:val="20"/>
                <w:szCs w:val="20"/>
                <w:color w:val="auto"/>
              </w:rPr>
            </w:pPr>
            <w:r>
              <w:rPr>
                <w:rFonts w:ascii="Arial" w:cs="Arial" w:eastAsia="Arial" w:hAnsi="Arial"/>
                <w:sz w:val="18"/>
                <w:szCs w:val="18"/>
                <w:color w:val="auto"/>
              </w:rPr>
              <w:t>68,691</w:t>
            </w: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3140" w:type="dxa"/>
            <w:vAlign w:val="bottom"/>
          </w:tcPr>
          <w:p>
            <w:pPr>
              <w:spacing w:after="0"/>
              <w:rPr>
                <w:sz w:val="20"/>
                <w:szCs w:val="20"/>
                <w:color w:val="auto"/>
              </w:rPr>
            </w:pPr>
          </w:p>
        </w:tc>
      </w:tr>
      <w:tr>
        <w:trPr>
          <w:trHeight w:val="337"/>
        </w:trPr>
        <w:tc>
          <w:tcPr>
            <w:tcW w:w="5600" w:type="dxa"/>
            <w:vAlign w:val="bottom"/>
          </w:tcPr>
          <w:p>
            <w:pPr>
              <w:spacing w:after="0"/>
              <w:rPr>
                <w:sz w:val="20"/>
                <w:szCs w:val="20"/>
                <w:color w:val="auto"/>
              </w:rPr>
            </w:pPr>
            <w:r>
              <w:rPr>
                <w:rFonts w:ascii="Arial" w:cs="Arial" w:eastAsia="Arial" w:hAnsi="Arial"/>
                <w:sz w:val="18"/>
                <w:szCs w:val="18"/>
                <w:color w:val="auto"/>
              </w:rPr>
              <w:t>Lance Baldo</w:t>
            </w:r>
          </w:p>
        </w:tc>
        <w:tc>
          <w:tcPr>
            <w:tcW w:w="3140" w:type="dxa"/>
            <w:vAlign w:val="bottom"/>
          </w:tcPr>
          <w:p>
            <w:pPr>
              <w:jc w:val="right"/>
              <w:ind w:right="910"/>
              <w:spacing w:after="0"/>
              <w:rPr>
                <w:sz w:val="20"/>
                <w:szCs w:val="20"/>
                <w:color w:val="auto"/>
              </w:rPr>
            </w:pPr>
            <w:r>
              <w:rPr>
                <w:rFonts w:ascii="Arial" w:cs="Arial" w:eastAsia="Arial" w:hAnsi="Arial"/>
                <w:sz w:val="18"/>
                <w:szCs w:val="18"/>
                <w:color w:val="auto"/>
              </w:rPr>
              <w:t>22,894</w:t>
            </w: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3140" w:type="dxa"/>
            <w:vAlign w:val="bottom"/>
          </w:tcPr>
          <w:p>
            <w:pPr>
              <w:spacing w:after="0"/>
              <w:rPr>
                <w:sz w:val="20"/>
                <w:szCs w:val="20"/>
                <w:color w:val="auto"/>
              </w:rPr>
            </w:pPr>
          </w:p>
        </w:tc>
      </w:tr>
    </w:tbl>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Harlan Robins</w:t>
            </w:r>
          </w:p>
        </w:tc>
        <w:tc>
          <w:tcPr>
            <w:tcW w:w="3100" w:type="dxa"/>
            <w:vAlign w:val="bottom"/>
            <w:vMerge w:val="restart"/>
          </w:tcPr>
          <w:p>
            <w:pPr>
              <w:jc w:val="right"/>
              <w:spacing w:after="0"/>
              <w:rPr>
                <w:sz w:val="20"/>
                <w:szCs w:val="20"/>
                <w:color w:val="auto"/>
              </w:rPr>
            </w:pPr>
            <w:r>
              <w:rPr>
                <w:rFonts w:ascii="Arial" w:cs="Arial" w:eastAsia="Arial" w:hAnsi="Arial"/>
                <w:sz w:val="18"/>
                <w:szCs w:val="18"/>
                <w:color w:val="auto"/>
              </w:rPr>
              <w:t>68,691</w:t>
            </w:r>
          </w:p>
        </w:tc>
        <w:tc>
          <w:tcPr>
            <w:tcW w:w="0" w:type="dxa"/>
            <w:vAlign w:val="bottom"/>
          </w:tcPr>
          <w:p>
            <w:pPr>
              <w:spacing w:after="0"/>
              <w:rPr>
                <w:sz w:val="1"/>
                <w:szCs w:val="1"/>
                <w:color w:val="auto"/>
              </w:rPr>
            </w:pPr>
          </w:p>
        </w:tc>
      </w:tr>
      <w:tr>
        <w:trPr>
          <w:trHeight w:val="94"/>
        </w:trPr>
        <w:tc>
          <w:tcPr>
            <w:tcW w:w="46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is a summary only and does not purport to be a complete description of all of the terms and provisions of the RSUs, and is subject to and qualified by reference to the full text of the Company’s 2019 Equity Incentive Plan and the form of RSU Award Agreement thereunder, each of which have been filed as Exhibit 10.14 to the Company’s Form 10-K, 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Adaptive Biotechnologies Corporation</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March 5, 2021</w:t>
            </w:r>
          </w:p>
        </w:tc>
        <w:tc>
          <w:tcPr>
            <w:tcW w:w="7620" w:type="dxa"/>
            <w:vAlign w:val="bottom"/>
            <w:gridSpan w:val="2"/>
          </w:tcPr>
          <w:p>
            <w:pPr>
              <w:ind w:left="2120"/>
              <w:spacing w:after="0"/>
              <w:rPr>
                <w:sz w:val="20"/>
                <w:szCs w:val="20"/>
                <w:color w:val="auto"/>
              </w:rPr>
            </w:pPr>
            <w:r>
              <w:rPr>
                <w:rFonts w:ascii="Arial" w:cs="Arial" w:eastAsia="Arial" w:hAnsi="Arial"/>
                <w:sz w:val="18"/>
                <w:szCs w:val="18"/>
                <w:color w:val="auto"/>
              </w:rPr>
              <w:t>By: /s/ Chad Cohen</w:t>
            </w:r>
          </w:p>
        </w:tc>
      </w:tr>
      <w:tr>
        <w:trPr>
          <w:trHeight w:val="222"/>
        </w:trPr>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Chad Cohen</w:t>
            </w:r>
          </w:p>
        </w:tc>
      </w:tr>
      <w:tr>
        <w:trPr>
          <w:trHeight w:val="230"/>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2021-03-05T07:12:46Z</dcterms:created>
  <dcterms:modified xsi:type="dcterms:W3CDTF">2021-03-05T07:12:46Z</dcterms:modified>
</cp:coreProperties>
</file>