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dpt-20260630.htm"/>
      <w:bookmarkStart w:id="1" w:name="ksadpt20260630"/>
      <w:bookmarkEnd w:id="0"/>
      <w:bookmarkEnd w:id="1"/>
      <w:r>
        <w:rPr/>
        <w:t> </w:t>
      </w:r>
    </w:p>
    <w:p>
      <w:pPr>
        <w:pStyle w:val="TextBody"/>
        <w:pBdr>
          <w:bottom w:val="double" w:sz="6" w:space="1" w:color="000000"/>
        </w:pBdr>
        <w:bidi w:val="0"/>
        <w:jc w:val="left"/>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_____to 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001-38957</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ADAPTIVE BIOTECHNOLOGIES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707" w:type="dxa"/>
        <w:jc w:val="left"/>
        <w:tblInd w:w="0" w:type="dxa"/>
        <w:tblLayout w:type="fixed"/>
        <w:tblCellMar>
          <w:top w:w="28" w:type="dxa"/>
          <w:left w:w="28" w:type="dxa"/>
          <w:bottom w:w="28" w:type="dxa"/>
          <w:right w:w="28" w:type="dxa"/>
        </w:tblCellMar>
      </w:tblPr>
      <w:tblGrid>
        <w:gridCol w:w="2461"/>
        <w:gridCol w:w="1246"/>
      </w:tblGrid>
      <w:tr>
        <w:trPr/>
        <w:tc>
          <w:tcPr>
            <w:tcW w:w="24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27-0907024</w:t>
            </w:r>
          </w:p>
        </w:tc>
      </w:tr>
      <w:tr>
        <w:trPr/>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6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1165 Eastlake Avenue East</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Washington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98109</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(206)</w:t>
      </w:r>
      <w:r>
        <w:rPr>
          <w:rFonts w:ascii="Times New Roman" w:hAnsi="Times New Roman"/>
          <w:color w:val="000000"/>
          <w:sz w:val="20"/>
        </w:rPr>
        <w:t xml:space="preserve"> </w:t>
      </w:r>
      <w:r>
        <w:rPr>
          <w:rFonts w:ascii="Times New Roman" w:hAnsi="Times New Roman"/>
          <w:b/>
          <w:color w:val="000000"/>
          <w:sz w:val="20"/>
        </w:rPr>
        <w:t>659-0067</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10" w:type="dxa"/>
        <w:jc w:val="left"/>
        <w:tblInd w:w="0" w:type="dxa"/>
        <w:tblLayout w:type="fixed"/>
        <w:tblCellMar>
          <w:top w:w="28" w:type="dxa"/>
          <w:left w:w="28" w:type="dxa"/>
          <w:bottom w:w="28" w:type="dxa"/>
          <w:right w:w="28" w:type="dxa"/>
        </w:tblCellMar>
      </w:tblPr>
      <w:tblGrid>
        <w:gridCol w:w="3676"/>
        <w:gridCol w:w="146"/>
        <w:gridCol w:w="826"/>
        <w:gridCol w:w="146"/>
        <w:gridCol w:w="331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ADPT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31, 2026, the registrant had 159,595,842</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Condensed Consolidated Statements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omprehensive_loss">
              <w:r>
                <w:rPr>
                  <w:rStyle w:val="InternetLink"/>
                  <w:rFonts w:ascii="Times New Roman" w:hAnsi="Times New Roman"/>
                  <w:color w:val="0000FF"/>
                  <w:sz w:val="20"/>
                  <w:u w:val="single"/>
                </w:rPr>
                <w:t>Condensed Consolidated Statements of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shareholders_equity">
              <w:r>
                <w:rPr>
                  <w:rStyle w:val="InternetLink"/>
                  <w:rFonts w:ascii="Times New Roman" w:hAnsi="Times New Roman"/>
                  <w:color w:val="0000FF"/>
                  <w:sz w:val="20"/>
                  <w:u w:val="single"/>
                </w:rPr>
                <w:t>Condensed Consolidated Statements of Shareholders’ Equity</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Condensed Consolidated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unaudited_financial_statements">
              <w:r>
                <w:rPr>
                  <w:rStyle w:val="InternetLink"/>
                  <w:rFonts w:ascii="Times New Roman" w:hAnsi="Times New Roman"/>
                  <w:color w:val="0000FF"/>
                  <w:sz w:val="20"/>
                  <w:u w:val="single"/>
                </w:rPr>
                <w:t>Notes to Unaudited Condensed Consolidated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contains forward-looking statements that are based on management’s beliefs and assumptions and on information currently available to management. All statements contained in this report other than statements of historical fact are forward-looking statements, which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leverage and extend our immune medicine platform to discover, develop and commercialize our products and services, including further commercialization and development of products and services related to our Minimal Residual Disease (“MRD”) and Immune Medicine business areas, particularly in light of the novelty of immune medicine and our methods;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and maintain commercial market acceptance of our current products and services, including coverage and reimbursement decisions related to clonoSEQ, as well as our ability to achieve market acceptance for any additional products and services beyond our current portfolio, if developed;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payments, such as milestone fees or payments, based on our customers' use of our data in connection with their achievement of research or regulatory goals relating to their own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understand the T-cell mediated response across different indications and develop products leveraging our T cell receptor (“TCR”)-antigen binding data;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reliance on collaborators and other third parties for development, clinical testing and regulatory approval of current products in new indications and potential product candidates, which may fail at any time due to a number of possible unforeseen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report also include statements regarding our research and development efforts and other matters regarding our business strategies, use of capital, results of operations and financial position and plans and objectives for future operations. 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These risks, uncertainties and other factors are described under “Risk Factors,” “Management’s Discussion and Analysis of Financial Condition and Results of Operations” and elsewhere in this report and in other documents we file with the Securities and Exchange Commission (the “SEC”) from time to time. We caution you that forward-looking statements are based on a combination of facts and factors currently known by us and our projections of the future, about which we cannot be certain. As a result, the forward-looking statements may not prove to be accurate. The forward-looking statements in this report represent our views as of the date of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undertake no obligation to update any forward-looking statements for any reason, except as required by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stated or the context otherwise indicates, references to “we,” “us,” “our” and similar references refer to Adaptive Biotechnologies Corporation.</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 (Unaudited)</w:t>
      </w:r>
    </w:p>
    <w:p>
      <w:pPr>
        <w:pStyle w:val="TextBody"/>
        <w:bidi w:val="0"/>
        <w:jc w:val="left"/>
        <w:rPr/>
      </w:pPr>
      <w:r>
        <w:rPr/>
        <w:t> </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6"/>
        <w:gridCol w:w="146"/>
        <w:gridCol w:w="211"/>
        <w:gridCol w:w="991"/>
        <w:gridCol w:w="166"/>
        <w:gridCol w:w="146"/>
        <w:gridCol w:w="225"/>
        <w:gridCol w:w="1061"/>
        <w:gridCol w:w="613"/>
      </w:tblGrid>
      <w:tr>
        <w:trPr/>
        <w:tc>
          <w:tcPr>
            <w:tcW w:w="6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 (amortized cost of $174,510 and $156,246,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156,485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marketable securities (amortized cost of $27,564 and $13,220,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512,736</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revenue interest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interest liability, net,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126,566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287,735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at June 30, 2026 and December 31, 2025; no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340,000,000 shares authorized at June 30, 2026 and December 31, 2025; 159,059,622 and 153,779,418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1,581,848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(1,363,323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Adaptive Biotechnologies Corporation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512,736</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18"/>
        </w:rPr>
      </w:pPr>
      <w:r>
        <w:rPr>
          <w:rFonts w:ascii="Times New Roman" w:hAnsi="Times New Roman"/>
          <w:color w:val="000000"/>
          <w:sz w:val="18"/>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1"/>
        <w:bidi w:val="0"/>
        <w:jc w:val="center"/>
        <w:rPr>
          <w:rFonts w:ascii="Times New Roman" w:hAnsi="Times New Roman"/>
          <w:color w:val="000000"/>
          <w:sz w:val="20"/>
        </w:rPr>
      </w:pPr>
      <w:bookmarkStart w:id="5" w:name="statements_operations"/>
      <w:bookmarkEnd w:id="5"/>
      <w:r>
        <w:rPr>
          <w:rFonts w:ascii="Times New Roman" w:hAnsi="Times New Roman"/>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767" w:type="dxa"/>
        <w:jc w:val="left"/>
        <w:tblInd w:w="0" w:type="dxa"/>
        <w:tblLayout w:type="fixed"/>
        <w:tblCellMar>
          <w:top w:w="28" w:type="dxa"/>
          <w:left w:w="28" w:type="dxa"/>
          <w:bottom w:w="28" w:type="dxa"/>
          <w:right w:w="28" w:type="dxa"/>
        </w:tblCellMar>
      </w:tblPr>
      <w:tblGrid>
        <w:gridCol w:w="1906"/>
        <w:gridCol w:w="746"/>
        <w:gridCol w:w="211"/>
        <w:gridCol w:w="1141"/>
        <w:gridCol w:w="166"/>
        <w:gridCol w:w="146"/>
        <w:gridCol w:w="211"/>
        <w:gridCol w:w="1141"/>
        <w:gridCol w:w="746"/>
        <w:gridCol w:w="746"/>
        <w:gridCol w:w="211"/>
        <w:gridCol w:w="1141"/>
        <w:gridCol w:w="166"/>
        <w:gridCol w:w="146"/>
        <w:gridCol w:w="211"/>
        <w:gridCol w:w="1141"/>
        <w:gridCol w:w="591"/>
      </w:tblGrid>
      <w:tr>
        <w:trPr/>
        <w:tc>
          <w:tcPr>
            <w:tcW w:w="190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58,879</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17,999</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23,573</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17,786</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intangible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83,915</w:t>
            </w:r>
          </w:p>
        </w:tc>
        <w:tc>
          <w:tcPr>
            <w:tcW w:w="7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(25,036</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revenue interest liability extinguishment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Net loss (income) attributable to noncontrolling interest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Adaptive Biotechnologies Corporation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(25,614</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 per share attributable to Adaptive Biotechnologies Corporation common shareholders, basic and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Adaptive Biotechnologies Corporation common shareholders,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159,855,257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152,082,284</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157,700,126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150,646,632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jc w:val="center"/>
        <w:rPr>
          <w:rFonts w:ascii="Times New Roman" w:hAnsi="Times New Roman"/>
          <w:b/>
          <w:color w:val="000000"/>
          <w:sz w:val="20"/>
        </w:rPr>
      </w:pPr>
      <w:bookmarkStart w:id="6" w:name="statements_comprehensive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83"/>
        <w:gridCol w:w="146"/>
        <w:gridCol w:w="214"/>
        <w:gridCol w:w="750"/>
        <w:gridCol w:w="168"/>
        <w:gridCol w:w="148"/>
        <w:gridCol w:w="214"/>
        <w:gridCol w:w="750"/>
        <w:gridCol w:w="166"/>
        <w:gridCol w:w="146"/>
        <w:gridCol w:w="211"/>
        <w:gridCol w:w="736"/>
        <w:gridCol w:w="166"/>
        <w:gridCol w:w="146"/>
        <w:gridCol w:w="211"/>
        <w:gridCol w:w="736"/>
        <w:gridCol w:w="414"/>
      </w:tblGrid>
      <w:tr>
        <w:trPr/>
        <w:tc>
          <w:tcPr>
            <w:tcW w:w="4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(55,423</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gains and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Comprehensive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Adaptive Biotechnologies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(39,972</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1"/>
        <w:bidi w:val="0"/>
        <w:jc w:val="center"/>
        <w:rPr>
          <w:rFonts w:ascii="Times New Roman" w:hAnsi="Times New Roman"/>
          <w:color w:val="000000"/>
          <w:sz w:val="20"/>
        </w:rPr>
      </w:pPr>
      <w:bookmarkStart w:id="7" w:name="statements_shareholders_equity"/>
      <w:bookmarkEnd w:id="7"/>
      <w:r>
        <w:rPr>
          <w:rFonts w:ascii="Times New Roman" w:hAnsi="Times New Roman"/>
          <w:color w:val="000000"/>
          <w:sz w:val="20"/>
        </w:rPr>
        <w:t>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810" w:type="dxa"/>
        <w:jc w:val="left"/>
        <w:tblInd w:w="0" w:type="dxa"/>
        <w:tblLayout w:type="fixed"/>
        <w:tblCellMar>
          <w:top w:w="28" w:type="dxa"/>
          <w:left w:w="28" w:type="dxa"/>
          <w:bottom w:w="28" w:type="dxa"/>
          <w:right w:w="28" w:type="dxa"/>
        </w:tblCellMar>
      </w:tblPr>
      <w:tblGrid>
        <w:gridCol w:w="1551"/>
        <w:gridCol w:w="146"/>
        <w:gridCol w:w="146"/>
        <w:gridCol w:w="1141"/>
        <w:gridCol w:w="166"/>
        <w:gridCol w:w="146"/>
        <w:gridCol w:w="261"/>
        <w:gridCol w:w="430"/>
        <w:gridCol w:w="146"/>
        <w:gridCol w:w="146"/>
        <w:gridCol w:w="211"/>
        <w:gridCol w:w="931"/>
        <w:gridCol w:w="166"/>
        <w:gridCol w:w="146"/>
        <w:gridCol w:w="466"/>
        <w:gridCol w:w="750"/>
        <w:gridCol w:w="166"/>
        <w:gridCol w:w="146"/>
        <w:gridCol w:w="211"/>
        <w:gridCol w:w="991"/>
        <w:gridCol w:w="166"/>
        <w:gridCol w:w="146"/>
        <w:gridCol w:w="324"/>
        <w:gridCol w:w="877"/>
        <w:gridCol w:w="166"/>
        <w:gridCol w:w="146"/>
        <w:gridCol w:w="236"/>
        <w:gridCol w:w="875"/>
        <w:gridCol w:w="411"/>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151,916,722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 cash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152,234,772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159,697,221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 cash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159,059,622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(1,423,144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Condensed Consolidated Statements of Shareholders’ Equity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975" w:type="dxa"/>
        <w:jc w:val="left"/>
        <w:tblInd w:w="0" w:type="dxa"/>
        <w:tblLayout w:type="fixed"/>
        <w:tblCellMar>
          <w:top w:w="28" w:type="dxa"/>
          <w:left w:w="28" w:type="dxa"/>
          <w:bottom w:w="28" w:type="dxa"/>
          <w:right w:w="28" w:type="dxa"/>
        </w:tblCellMar>
      </w:tblPr>
      <w:tblGrid>
        <w:gridCol w:w="1716"/>
        <w:gridCol w:w="146"/>
        <w:gridCol w:w="146"/>
        <w:gridCol w:w="1141"/>
        <w:gridCol w:w="166"/>
        <w:gridCol w:w="146"/>
        <w:gridCol w:w="261"/>
        <w:gridCol w:w="430"/>
        <w:gridCol w:w="146"/>
        <w:gridCol w:w="146"/>
        <w:gridCol w:w="211"/>
        <w:gridCol w:w="931"/>
        <w:gridCol w:w="166"/>
        <w:gridCol w:w="146"/>
        <w:gridCol w:w="466"/>
        <w:gridCol w:w="750"/>
        <w:gridCol w:w="166"/>
        <w:gridCol w:w="146"/>
        <w:gridCol w:w="211"/>
        <w:gridCol w:w="991"/>
        <w:gridCol w:w="166"/>
        <w:gridCol w:w="146"/>
        <w:gridCol w:w="324"/>
        <w:gridCol w:w="877"/>
        <w:gridCol w:w="166"/>
        <w:gridCol w:w="146"/>
        <w:gridCol w:w="236"/>
        <w:gridCol w:w="875"/>
        <w:gridCol w:w="41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147,773,744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 cash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 and market-based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152,234,772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153,779,418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 cash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 and market-based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contributions for Digital Biotechnologies,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159,059,622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pPr>
      <w:r>
        <w:rPr/>
        <w:t> </w:t>
      </w:r>
    </w:p>
    <w:p>
      <w:pPr>
        <w:pStyle w:val="TextBody"/>
        <w:bidi w:val="0"/>
        <w:jc w:val="center"/>
        <w:rPr>
          <w:rFonts w:ascii="Times New Roman" w:hAnsi="Times New Roman"/>
          <w:b/>
          <w:color w:val="000000"/>
          <w:sz w:val="20"/>
        </w:rPr>
      </w:pPr>
      <w:bookmarkStart w:id="8" w:name="statements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interest purchase agreement and convertible senior notes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revenue interest liability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capital contributions for Digital Biotechnologies,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interest liability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convertible senior notes,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issuance costs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pPr>
      <w:r>
        <w:rPr/>
        <w:t> </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bookmarkStart w:id="9" w:name="notes_unaudited_financial_statements"/>
      <w:bookmarkEnd w:id="9"/>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Adaptive Biotechnologies Corporation (“we,” “us” or “our”) is a commercial-stage company advancing the field of immune medicine by harnessing the inherent biology of the adaptive immune system to transform the diagnosis and treatment of disease. We believe the adaptive immune system is nature’s most finely tuned diagnostic and therapeutic for most diseases, but the inability to decode it has prevented the medical community from fully leveraging its capabilities. Our immune medicine platform applies our proprietary technologies to read the diverse genetic code of a patient’s immune system and understand precisely how the immune system detects and treats disease in that patient. We capture these insights in our dynamic clinical immunomics database and related antigen annotations, which are underpinned by computational biology and machine learning, and use them to develop and commercialize clinical products and services that can be tailored to the needs of individual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the State of Washington on September 8, 2009 under the name Adaptive TCR Corporation. On December 21, 2011, we changed our name to Adaptive Biotechnologies Corporation. We are headquartered in Seattle, Washington.</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2. Significant Accounting Policies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consolidate entities in which we have a controlling financial interest and subsidiaries in which we hold less than a majority interest when we have the ability to direct the activities that most significantly affect economic performance and when other investors do not have substantive rights to participate in those decisions. The unaudited condensed consolidated financial statements include the accounts of Adaptive Biotechnologies Corporation, Adaptive Biotechnologies B.V., our wholly-owned subsidiary, and Digital Biotechnologies, Inc., a subsidiary in which we had 46% ownership interest as of June 30, 2026 and have certain control rights. The remaining interest in Digital Biotechnologies, Inc., held by certain of our related parties, their related family trusts and Series A Preferred Stock holders, are shown in the unaudited condensed consolidated financial statements as noncontrolling interest. All intercompany transactions and balances have been eliminated upon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accounting principles generally accepted in the United States of America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We base our estimates on historical experience and other relevant assumptions that we believe to be reasonable under the circumstances. Estimates are used in several areas including, but not limited to, estimates of progress to date for certain performance obligations and the transaction price for certain contracts with customers, share-based compensation, imputing interest for our revenue interest purchase agreement (the “Purchase Agreement”), the provision for income taxes, including related reserves, the analysis of goodwill impairment and the recoverability and impairment of long-lived assets, among others. These estimates generally involve complex issues and require judgments, involve the analysis of historical results and prediction of future trends, can require extended periods of time to resolve and are subject to change from period to period. Actual results may differ materially from management’s estimates.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Unaudited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opinion, the accompanying unaudited condensed consolidated financial statements have been prepared in accordance with GAAP for interim financial information. These unaudited condensed consolidated financial statements include all adjustments necessary to fairly state our financial position and the results of our operations and cash flows for interim periods in accordance with GAAP. All such adjustments were of a normal, recurring nature. Interim-period results are not necessarily indicative of results of operations or cash flows for a full year or any subsequent interim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notes included in our Annual Report on Form 10-K for the year ended December 31, 2025 filed with the Securities and Exchange Commission (the “SEC”) on February 26, 2026.</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a restricted cash balance of $2.7 million as of June 30, 2026 and December 31, 2025. Our restricted cash primarily relates to certain balances we are required to maintain under lease arrangements for certain of our facility leases.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revenue-generating contracts, we perform the following steps to determine the amount of revenue to be recognized: (1) identify the contract or contracts; (2) determine whether the promised goods or services are performance obligations, including whether they are distinct in the context of the contract; (3) measure the transaction price, including the constraint on variable consideration; (4) allocate the transaction price to the performance obligations based on estimated selling prices; and (5) recognize revenue when (or as) we satisfy each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revenue by providing diagnostic and research services in our Minimal Residual Disease (“MRD”) and Immune Medicine business areas. Our MRD revenue consists of revenue generated from (1) providing our clonoSEQ report to clinical customers; (2) providing MRD sample testing services to biopharmaceutical customers and certain academic institutions, including investigator-led clinical trials; and (3) providing our clonoSEQ report or results to certain international laboratory sites through technology transfers. Our Immune Medicine revenue consists of revenue generated from (1) providing sample testing services for our commercial research product, Adaptive Immunosequencing; (2) data licensing and target discovery services; and (3) for periods prior to October 1, 2025, our former collaboration with Genentech, Inc. (“Genentech”) under the worldwide collaboration and license agreement with Genentech (the “Genentech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agreements where we provide our clonoSEQ report to ordering physicians, we have identified one performance obligation: the delivery of a clonoSEQ report. We bill and receive payments for these transactions from commercial, government and medical institution payors. As payment from the respective payors may vary based on the various reimbursement rates and patient responsibilities, we consider the transaction price to be variable and record an estimate of the transaction price, subject to the constraint for variable consideration, as revenue at the time of delivery. The estimate of transaction price is based on historical and expected reimbursement rates with the various payors, which are monitored in subsequent periods and adjusted, as necessary, based on actual collection experience.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Regarding our clonoSEQ coverage under Medicare, we bill an episode of treatment when we deliver the first eligible test report. This billing contemplates all necessary tests required during a patient’s treatment cycle, which is currently estimated at approximately four tests per patient, including the initial sequence identification test. Revenue recognition commences at the time the initial billable test report is delivered and is based upon cumulative tests delivered to date. We estimate the number of tests we expect to deliver over a patient’s treatment cycle based on historical testing frequencies for patients by indication. These estimates are subject to change as we develop more information about utilization over time. Any unrecognized revenue from the initial billable test is recorded as deferred revenue and is recognized either as we deliver our estimate of the remaining tests in a patient’s treatment cycle or when the likelihood becomes remote that a patient will receive additional testing. In certain cases, we continue to provide services and incur costs for patients who exceed our number of estimated tests.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 transaction price for agreements we enter into with biopharmaceutical customers to further develop and commercialize their therapeutics may consist of a combination of non-refundable upfront fees, separately priced MRD testing fees and milestone fees earned upon our customers’ achievement of certain regulatory approvals. Depending on the contract, these agreements include single or multiple performance obligations. Such performance obligations include providing services to support our customers’ therapeutic development efforts, including regulatory support where our technology is intended to be utilized as part of our customers’ registrational trials, developing analytical plans for our data, participating on joint committees, assisting in completing a regulatory submission and providing MRD testing services related to customer-provided samples for our customers' regulatory submissions. Generally, the support services, excluding MRD testing services, are not distinct within the context of the contract and thus are accounted for as a single performance obligation. The transaction price allocated to the respective performance obligations is estimated using a standalone selling price for the estimated MRD testing services. When MRD sample testing services are separately priced customer options, we assess if a material right exists and, if not, the customer option to purchase additional MRD sample testing services is not considered part of the contract. We recognize revenue related to MRD testing services over time using an output method based on the proportion of sample results delivered relative to the total amount of sample results expected to be delivered, when expected to be a faithful depiction of progress. When an output method based on the proportion of sample results delivered is not expected to be a faithful depiction of progress, we utilize an input method using a cost-based model based on estimates of effort completed. Selecting the measure of progress and estimating progress to date requires significant judgment. Except for any non-refundable upfront fees, the other forms of compensation represent variable consideration. At contract inception, we fully constrain any consideration related to regulatory milestones, as the achievement of such milestones is subject to third-party regulatory approval and the customers’ own submission decision-making. Variable consideration related to regulatory milestones is estimated using the most likely amount method, where variable consideration is constrained until it is probable that a significant reversal of cumulative revenue will not occur. Milestone payments for regulatory approvals, which are not within our customers’ control, are not considered probable of being achieved until those approvals are received. Determining whether regulatory milestone payments are probable is an area that requires significant judgment. In making this assessment, we evaluate scientific, clinical, regulatory and other risks, as well as the level of effort and investment required to achieve the respective milestone.</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biopharmaceutical customers who utilize either our MRD or Adaptive Immunosequencing services, contracts typically include an amount billed in advance of services (“upfront”) and subsequent billings as sample results are delivered to the customer. Upfront amounts received are recorded as deferred revenue, which we recognize as revenue upon satisfaction of performance obligations. We have identified two typical performance obligations under the terms of our research service contracts: (1) the delivery of our MRD data or Adaptive Immunosequencing for customer provided samples; and (2) related data analysis. We recognize revenue for both identified performance obligations as sample results are delivered to the customer. In periods where our sample estimates are reduced or a customer project is cancelled and, in either case, we have remaining related deferred revenue, we recognize revenue using a cumulative catch-up approach based on the proportion of samples delivered to date relative to the total samples expected to be delivered.</w:t>
      </w:r>
    </w:p>
    <w:p>
      <w:pPr>
        <w:pStyle w:val="TextBody"/>
        <w:bidi w:val="0"/>
        <w:spacing w:before="120" w:after="283"/>
        <w:jc w:val="left"/>
        <w:rPr>
          <w:rFonts w:ascii="Times New Roman" w:hAnsi="Times New Roman"/>
          <w:sz w:val="20"/>
        </w:rPr>
      </w:pPr>
      <w:r>
        <w:rPr>
          <w:rFonts w:ascii="Times New Roman" w:hAnsi="Times New Roman"/>
          <w:color w:val="000000"/>
          <w:sz w:val="20"/>
        </w:rPr>
        <w:t>For our data licensing agreement, we</w:t>
      </w:r>
      <w:r>
        <w:rPr>
          <w:rFonts w:ascii="Times New Roman" w:hAnsi="Times New Roman"/>
          <w:color w:val="231F20"/>
          <w:sz w:val="20"/>
        </w:rPr>
        <w:t xml:space="preserve"> provide non</w:t>
        <w:noBreakHyphen/>
        <w:t>exclusive licenses to specified T cell receptor (</w:t>
      </w:r>
      <w:r>
        <w:rPr>
          <w:rFonts w:ascii="Times New Roman" w:hAnsi="Times New Roman"/>
          <w:color w:val="000000"/>
          <w:sz w:val="20"/>
        </w:rPr>
        <w:t>“TCR”</w:t>
      </w:r>
      <w:r>
        <w:rPr>
          <w:rFonts w:ascii="Times New Roman" w:hAnsi="Times New Roman"/>
          <w:color w:val="231F20"/>
          <w:sz w:val="20"/>
        </w:rPr>
        <w:t>) dataset tranches. We identified one performance obligation: the delivery of the respective TCR dataset tranche. We recognize revenue upon delivery of such licensed data. We also have the right to receive additional consideration upon the renewal or exercise of additional TCR dataset tranche licenses. These do not represent material rights, and as such, will be accounted for when and if exercised.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our target discovery agreement, we received an initial upfront payment and rights to additional consideration upon the delivery of completed disease-specific TCRs pursuant to a research plan. We identified two distinct performance obligations: (1) to provide Adaptive Immunosequencing services for customer provided specimens; and (2) the delivery of the disease-specific TCRs with the associated license rights. The consideration allocated to each of the respective performance obligations is recognized as revenue upon the delivery of the respective datasets. If the customer elects to further develop therapeutics, we may be eligible to receive additional development, commercial and sales milestone payments that could total up to $877.5 million. All such development, commercial and sales</w:t>
        <w:noBreakHyphen/>
        <w:t>based milestone payments are fully constrained until the underlying triggering events occur. The customer is solely responsible for any subsequent development costs following the conclusion of the research plan.</w:t>
      </w:r>
    </w:p>
    <w:p>
      <w:pPr>
        <w:pStyle w:val="Heading2"/>
        <w:bidi w:val="0"/>
        <w:spacing w:before="360" w:after="120"/>
        <w:jc w:val="left"/>
        <w:rPr>
          <w:rFonts w:ascii="Times New Roman" w:hAnsi="Times New Roman"/>
          <w:i/>
          <w:color w:val="000000"/>
          <w:sz w:val="20"/>
        </w:rPr>
      </w:pPr>
      <w:r>
        <w:rPr>
          <w:rFonts w:ascii="Times New Roman" w:hAnsi="Times New Roman"/>
          <w:i/>
          <w:color w:val="000000"/>
          <w:sz w:val="20"/>
        </w:rPr>
        <w:t>New Accounting Pronouncements Not Yet Adopted</w:t>
      </w:r>
    </w:p>
    <w:p>
      <w:pPr>
        <w:pStyle w:val="TextBody"/>
        <w:bidi w:val="0"/>
        <w:jc w:val="left"/>
        <w:rPr>
          <w:rFonts w:ascii="Times New Roman" w:hAnsi="Times New Roman"/>
          <w:sz w:val="20"/>
        </w:rPr>
      </w:pPr>
      <w:r>
        <w:rPr>
          <w:rFonts w:ascii="Times New Roman" w:hAnsi="Times New Roman"/>
          <w:color w:val="000000"/>
          <w:sz w:val="20"/>
        </w:rPr>
        <w:t>In November 2024, the Financial Accounting Standards Board (“FASB”) issued Accounting Standard Update</w:t>
      </w:r>
      <w:r>
        <w:rPr>
          <w:rFonts w:ascii="Times New Roman" w:hAnsi="Times New Roman"/>
          <w:color w:val="231F20"/>
          <w:sz w:val="20"/>
        </w:rPr>
        <w:t xml:space="preserve"> (“ASU”) </w:t>
      </w:r>
      <w:r>
        <w:rPr>
          <w:rFonts w:ascii="Times New Roman" w:hAnsi="Times New Roman"/>
          <w:color w:val="000000"/>
          <w:sz w:val="20"/>
        </w:rPr>
        <w:t xml:space="preserve">No. 2024-03, </w:t>
      </w:r>
      <w:r>
        <w:rPr>
          <w:rFonts w:ascii="Times New Roman" w:hAnsi="Times New Roman"/>
          <w:i/>
          <w:color w:val="000000"/>
          <w:sz w:val="20"/>
        </w:rPr>
        <w:t xml:space="preserve">Income Statement — Reporting Comprehensive Income — Expense Disaggregation Disclosures </w:t>
      </w:r>
      <w:r>
        <w:rPr>
          <w:rFonts w:ascii="Times New Roman" w:hAnsi="Times New Roman"/>
          <w:color w:val="000000"/>
          <w:sz w:val="20"/>
        </w:rPr>
        <w:t>(Subtopic 220-40)</w:t>
      </w:r>
      <w:r>
        <w:rPr>
          <w:rFonts w:ascii="Times New Roman" w:hAnsi="Times New Roman"/>
          <w:i/>
          <w:color w:val="000000"/>
          <w:sz w:val="20"/>
        </w:rPr>
        <w:t>: Disaggregation of Income Statement Expenses</w:t>
      </w:r>
      <w:r>
        <w:rPr>
          <w:rFonts w:ascii="Times New Roman" w:hAnsi="Times New Roman"/>
          <w:color w:val="000000"/>
          <w:sz w:val="20"/>
        </w:rPr>
        <w:t>, which intends to improve financial reporting by requiring disclosure of additional information about specific expense categories. This guidance is effective for annual reporting periods beginning after December 15, 2026 and interim reporting periods beginning after December 15, 2027. Early adoption is permitted and the guidance is to be applied prospectively and may be applied retrospectively. We are currently evaluating the impact of this guidance on our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 </w:t>
      </w:r>
      <w:r>
        <w:rPr>
          <w:rFonts w:ascii="Times New Roman" w:hAnsi="Times New Roman"/>
          <w:i/>
          <w:color w:val="000000"/>
          <w:sz w:val="20"/>
        </w:rPr>
        <w:t>Intangibles — Goodwill and Other — Internal-Use Software (</w:t>
      </w:r>
      <w:r>
        <w:rPr>
          <w:rFonts w:ascii="Times New Roman" w:hAnsi="Times New Roman"/>
          <w:color w:val="000000"/>
          <w:sz w:val="20"/>
        </w:rPr>
        <w:t>Subtopic 350-40</w:t>
      </w:r>
      <w:r>
        <w:rPr>
          <w:rFonts w:ascii="Times New Roman" w:hAnsi="Times New Roman"/>
          <w:i/>
          <w:color w:val="000000"/>
          <w:sz w:val="20"/>
        </w:rPr>
        <w:t>): Targeted Improvements to the Accounting for Internal-Use Software</w:t>
      </w:r>
      <w:r>
        <w:rPr>
          <w:rFonts w:ascii="Times New Roman" w:hAnsi="Times New Roman"/>
          <w:color w:val="000000"/>
          <w:sz w:val="20"/>
        </w:rPr>
        <w:t>, which amends the criteria for capitalizing internal-use software costs and specifies related disclosure requirements. This guidance is effective for annual reporting periods beginning after December 15, 2027 and interim reporting periods within those annual reporting periods. Early adoption is permitted and the guidance may be applied prospectively, retrospectively or using a modified transition approach. We are currently evaluating the impact of this guidance on our consolidated financial statements and related disclosures.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3.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disaggregate our revenue from contracts with customers by business area and type of arrangement, as we believe this best depicts how the nature, amount, timing and uncertainty of our revenue and cash flows are affected by 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disaggregated revenue for the periods presented (in thousands):</w:t>
      </w:r>
    </w:p>
    <w:p>
      <w:pPr>
        <w:pStyle w:val="TextBody"/>
        <w:bidi w:val="0"/>
        <w:jc w:val="left"/>
        <w:rPr/>
      </w:pPr>
      <w:r>
        <w:rPr/>
        <w:t> </w:t>
      </w:r>
    </w:p>
    <w:tbl>
      <w:tblPr>
        <w:tblW w:w="9145" w:type="dxa"/>
        <w:jc w:val="left"/>
        <w:tblInd w:w="0" w:type="dxa"/>
        <w:tblLayout w:type="fixed"/>
        <w:tblCellMar>
          <w:top w:w="28" w:type="dxa"/>
          <w:left w:w="28" w:type="dxa"/>
          <w:bottom w:w="28" w:type="dxa"/>
          <w:right w:w="28" w:type="dxa"/>
        </w:tblCellMar>
      </w:tblPr>
      <w:tblGrid>
        <w:gridCol w:w="3176"/>
        <w:gridCol w:w="546"/>
        <w:gridCol w:w="231"/>
        <w:gridCol w:w="741"/>
        <w:gridCol w:w="160"/>
        <w:gridCol w:w="160"/>
        <w:gridCol w:w="231"/>
        <w:gridCol w:w="741"/>
        <w:gridCol w:w="146"/>
        <w:gridCol w:w="146"/>
        <w:gridCol w:w="211"/>
        <w:gridCol w:w="781"/>
        <w:gridCol w:w="146"/>
        <w:gridCol w:w="146"/>
        <w:gridCol w:w="211"/>
        <w:gridCol w:w="78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MRD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Regulatory milestone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MRD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Immune Medicine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licensing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Collaboration revenue</w:t>
            </w:r>
            <w:r>
              <w:rPr>
                <w:rFonts w:ascii="Times New Roman" w:hAnsi="Times New Roman"/>
                <w:color w:val="000000"/>
                <w:sz w:val="13"/>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Immune Medicine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71,553</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On August 13, 2025, the Genentech Agreement was terminated, with termination effective February 9,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and 2025, we recognized $3.0 million and $2.1 million, respectively, in MRD service revenue related to Medicare reimbursements resulting from our determination that the likelihood of additional testing for specific patients was remote.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and 2025, we recognized $5.6 million and $4.1 million, respectively, in MRD service revenue related to Medicare reimbursements resulting from our determination that the likelihood of additional testing for specific patients was remote.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could receive up to an additional $386.0 million in milestone payments in future periods if certain regulatory approvals are obtained by our customers’ therapeutics in connection with MRD data generated from our MRD product.</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4.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current deferred revenue to be recognized as revenue within 12 months. We expect the majority of our non-current deferred revenue to be recognized as revenue over a period of approximately two years from June 30, 2026. This period of time represents an estimate of the ongoing sample testing for our customers' therapeutic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deferred revenue during the six months ended June 30, 2026 were as follows (in thousands):</w:t>
      </w:r>
    </w:p>
    <w:p>
      <w:pPr>
        <w:pStyle w:val="TextBody"/>
        <w:bidi w:val="0"/>
        <w:jc w:val="left"/>
        <w:rPr/>
      </w:pPr>
      <w:r>
        <w:rPr/>
        <w:t> </w:t>
      </w:r>
    </w:p>
    <w:tbl>
      <w:tblPr>
        <w:tblW w:w="5675" w:type="dxa"/>
        <w:jc w:val="left"/>
        <w:tblInd w:w="0" w:type="dxa"/>
        <w:tblLayout w:type="fixed"/>
        <w:tblCellMar>
          <w:top w:w="28" w:type="dxa"/>
          <w:left w:w="28" w:type="dxa"/>
          <w:bottom w:w="28" w:type="dxa"/>
          <w:right w:w="28" w:type="dxa"/>
        </w:tblCellMar>
      </w:tblPr>
      <w:tblGrid>
        <w:gridCol w:w="4191"/>
        <w:gridCol w:w="146"/>
        <w:gridCol w:w="211"/>
        <w:gridCol w:w="736"/>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deferred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$19.0 million was recognized as revenue that was included in the deferred revenue balance at December 31, 2025.</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the fair values of financial assets as of June 30, 2026 and December 31, 2025 that were measured at fair value on a recurring basis (in thousands): </w:t>
      </w:r>
    </w:p>
    <w:p>
      <w:pPr>
        <w:pStyle w:val="TextBody"/>
        <w:bidi w:val="0"/>
        <w:jc w:val="left"/>
        <w:rPr/>
      </w:pPr>
      <w:r>
        <w:rPr/>
        <w:t> </w:t>
      </w:r>
    </w:p>
    <w:tbl>
      <w:tblPr>
        <w:tblW w:w="9365" w:type="dxa"/>
        <w:jc w:val="left"/>
        <w:tblInd w:w="0" w:type="dxa"/>
        <w:tblLayout w:type="fixed"/>
        <w:tblCellMar>
          <w:top w:w="28" w:type="dxa"/>
          <w:left w:w="28" w:type="dxa"/>
          <w:bottom w:w="28" w:type="dxa"/>
          <w:right w:w="28" w:type="dxa"/>
        </w:tblCellMar>
      </w:tblPr>
      <w:tblGrid>
        <w:gridCol w:w="4146"/>
        <w:gridCol w:w="146"/>
        <w:gridCol w:w="211"/>
        <w:gridCol w:w="781"/>
        <w:gridCol w:w="146"/>
        <w:gridCol w:w="146"/>
        <w:gridCol w:w="211"/>
        <w:gridCol w:w="781"/>
        <w:gridCol w:w="146"/>
        <w:gridCol w:w="146"/>
        <w:gridCol w:w="239"/>
        <w:gridCol w:w="391"/>
        <w:gridCol w:w="146"/>
        <w:gridCol w:w="146"/>
        <w:gridCol w:w="211"/>
        <w:gridCol w:w="781"/>
        <w:gridCol w:w="5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129,963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334,313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60" w:type="dxa"/>
        <w:jc w:val="left"/>
        <w:tblInd w:w="0" w:type="dxa"/>
        <w:tblLayout w:type="fixed"/>
        <w:tblCellMar>
          <w:top w:w="28" w:type="dxa"/>
          <w:left w:w="28" w:type="dxa"/>
          <w:bottom w:w="28" w:type="dxa"/>
          <w:right w:w="28" w:type="dxa"/>
        </w:tblCellMar>
      </w:tblPr>
      <w:tblGrid>
        <w:gridCol w:w="4146"/>
        <w:gridCol w:w="146"/>
        <w:gridCol w:w="211"/>
        <w:gridCol w:w="676"/>
        <w:gridCol w:w="146"/>
        <w:gridCol w:w="146"/>
        <w:gridCol w:w="211"/>
        <w:gridCol w:w="781"/>
        <w:gridCol w:w="146"/>
        <w:gridCol w:w="146"/>
        <w:gridCol w:w="239"/>
        <w:gridCol w:w="391"/>
        <w:gridCol w:w="146"/>
        <w:gridCol w:w="146"/>
        <w:gridCol w:w="211"/>
        <w:gridCol w:w="781"/>
        <w:gridCol w:w="5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securities include highly liquid money market funds, for which we measure the fair value based on quoted prices in active markets for identical assets or liabilities. Level 2 securities consist of United States (“U.S.”) government treasury and agency securities, commercial paper and corporate bonds, and are valued based on recent trades of securities in inactive markets or on quoted market prices of similar instruments and other significant inputs derived from or corroborated by observable market data. Of the June 30, 2026 Level 2 commercial paper balance, $2.5 million is recorded as cash and cash equivalents on our unaudited condensed consolidated balance sheet.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8, </w:t>
      </w:r>
      <w:r>
        <w:rPr>
          <w:rFonts w:ascii="Times New Roman" w:hAnsi="Times New Roman"/>
          <w:i/>
          <w:color w:val="000000"/>
          <w:sz w:val="20"/>
        </w:rPr>
        <w:t>Convertible Senior Notes and Capped Call Transactions</w:t>
      </w:r>
      <w:r>
        <w:rPr>
          <w:rFonts w:ascii="Times New Roman" w:hAnsi="Times New Roman"/>
          <w:color w:val="000000"/>
          <w:sz w:val="20"/>
        </w:rPr>
        <w:t xml:space="preserve"> for information regarding the fair value of our convertible senior notes.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Available-for-sale investments consisted of the following as of June 30,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52"/>
        <w:gridCol w:w="934"/>
        <w:gridCol w:w="146"/>
        <w:gridCol w:w="146"/>
        <w:gridCol w:w="453"/>
        <w:gridCol w:w="744"/>
        <w:gridCol w:w="146"/>
        <w:gridCol w:w="146"/>
        <w:gridCol w:w="354"/>
        <w:gridCol w:w="808"/>
        <w:gridCol w:w="166"/>
        <w:gridCol w:w="146"/>
        <w:gridCol w:w="319"/>
        <w:gridCol w:w="1180"/>
        <w:gridCol w:w="595"/>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174,510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174,382</w:t>
            </w:r>
          </w:p>
        </w:tc>
        <w:tc>
          <w:tcPr>
            <w:tcW w:w="5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27,480</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36"/>
        <w:gridCol w:w="146"/>
        <w:gridCol w:w="252"/>
        <w:gridCol w:w="935"/>
        <w:gridCol w:w="146"/>
        <w:gridCol w:w="146"/>
        <w:gridCol w:w="399"/>
        <w:gridCol w:w="800"/>
        <w:gridCol w:w="146"/>
        <w:gridCol w:w="146"/>
        <w:gridCol w:w="440"/>
        <w:gridCol w:w="724"/>
        <w:gridCol w:w="146"/>
        <w:gridCol w:w="146"/>
        <w:gridCol w:w="319"/>
        <w:gridCol w:w="1183"/>
        <w:gridCol w:w="595"/>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114,342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156,485</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the U.S. government treasury and agency securities, commercial paper and corporate bonds designated as short-term marketable securities have an effective maturity date that is equal to or less than one year from the respective condensed consolidated balance sheet date. Those that are designated as long-term marketable securities have an effective maturity date that is more than one year from the respective condensed consolidated balance sheet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interest receivable is excluded from the amortized cost and estimated fair value of our marketable securities. Accrued interest receivable of $1.8 million and $1.5 million was presented separately within the prepaid expenses and other current assets balance on the unaudited condensed consolidated balance sheet as of June 30, 2026 and on the condensed consolidated balance sheet as of December 31, 2025,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gross unrealized holding losses and fair values for investments in an unrealized loss position, and the length of time individual securities have been in a continuous loss position, as of June 30, 2026 (in thousands):</w:t>
      </w:r>
    </w:p>
    <w:p>
      <w:pPr>
        <w:pStyle w:val="TextBody"/>
        <w:bidi w:val="0"/>
        <w:jc w:val="left"/>
        <w:rPr/>
      </w:pPr>
      <w:r>
        <w:rPr/>
        <w:t> </w:t>
      </w:r>
    </w:p>
    <w:tbl>
      <w:tblPr>
        <w:tblW w:w="9818" w:type="dxa"/>
        <w:jc w:val="left"/>
        <w:tblInd w:w="0" w:type="dxa"/>
        <w:tblLayout w:type="fixed"/>
        <w:tblCellMar>
          <w:top w:w="28" w:type="dxa"/>
          <w:left w:w="28" w:type="dxa"/>
          <w:bottom w:w="28" w:type="dxa"/>
          <w:right w:w="28" w:type="dxa"/>
        </w:tblCellMar>
      </w:tblPr>
      <w:tblGrid>
        <w:gridCol w:w="3946"/>
        <w:gridCol w:w="146"/>
        <w:gridCol w:w="211"/>
        <w:gridCol w:w="781"/>
        <w:gridCol w:w="146"/>
        <w:gridCol w:w="146"/>
        <w:gridCol w:w="379"/>
        <w:gridCol w:w="866"/>
        <w:gridCol w:w="166"/>
        <w:gridCol w:w="146"/>
        <w:gridCol w:w="335"/>
        <w:gridCol w:w="550"/>
        <w:gridCol w:w="182"/>
        <w:gridCol w:w="182"/>
        <w:gridCol w:w="471"/>
        <w:gridCol w:w="774"/>
        <w:gridCol w:w="3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treasury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periodically review our available-for-sale securities to assess for credit impairment. Some of the factors considered in assessing impairment include the extent to which the fair value is less than the amortized cost basis, adverse conditions related to the security, an industry or geographic area, changes to security ratings or sector credit ratings and other relevant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did not intend, nor were we more likely than not to be required, to sell our available-for-sale investments before the recovery of their amortized cost basis, which may be maturity. Based on our assessment, we concluded all impairment as of June 30, 2026 to be due to factors other than credit loss, such as changes in interest rates. A credit allowance was not recognized and the impairment of our available-for-sale securities was recorded in other comprehensive loss.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7.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operating lease agreements for laboratory, office and warehouse facilities in Seattle, Washington, South San Francisco, California and Bothell, Washington. As of June 30, 2026, we were not party to any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our undiscounted operating lease cash flows to our operating lease liabilities, less current portion balance on the unaudited condensed consolidated balance sheet as of June 30, 2026 (in thousands):</w:t>
      </w:r>
    </w:p>
    <w:p>
      <w:pPr>
        <w:pStyle w:val="TextBody"/>
        <w:bidi w:val="0"/>
        <w:jc w:val="left"/>
        <w:rPr/>
      </w:pPr>
      <w:r>
        <w:rPr/>
        <w:t> </w:t>
      </w:r>
    </w:p>
    <w:tbl>
      <w:tblPr>
        <w:tblW w:w="5990" w:type="dxa"/>
        <w:jc w:val="left"/>
        <w:tblInd w:w="0" w:type="dxa"/>
        <w:tblLayout w:type="fixed"/>
        <w:tblCellMar>
          <w:top w:w="28" w:type="dxa"/>
          <w:left w:w="28" w:type="dxa"/>
          <w:bottom w:w="28" w:type="dxa"/>
          <w:right w:w="28" w:type="dxa"/>
        </w:tblCellMar>
      </w:tblPr>
      <w:tblGrid>
        <w:gridCol w:w="4486"/>
        <w:gridCol w:w="146"/>
        <w:gridCol w:w="211"/>
        <w:gridCol w:w="736"/>
        <w:gridCol w:w="4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(excluding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75,623</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2026 and 2025, cash paid for amounts included in the measurement of lease liabilities was $6.4 million and $7.2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$2.1 million in letters of credit with one of our financial institutions in connection with certain of our leases.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8. Convertible Senior Notes and Capped Call Transactions</w:t>
      </w:r>
    </w:p>
    <w:p>
      <w:pPr>
        <w:pStyle w:val="Heading2"/>
        <w:bidi w:val="0"/>
        <w:spacing w:before="120" w:after="120"/>
        <w:jc w:val="left"/>
        <w:rPr>
          <w:rFonts w:ascii="Times New Roman" w:hAnsi="Times New Roman"/>
          <w:i/>
          <w:color w:val="000000"/>
          <w:sz w:val="20"/>
        </w:rPr>
      </w:pPr>
      <w:r>
        <w:rPr>
          <w:rFonts w:ascii="Times New Roman" w:hAnsi="Times New Roman"/>
          <w:i/>
          <w:color w:val="000000"/>
          <w:sz w:val="20"/>
        </w:rPr>
        <w:t>0% Convertible Senior Notes Due 2031</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22, 2026, we issued $345.0 million in aggregate principal amount of 0% convertible senior notes due 2031 (the “Notes”). We issued the Notes pursuant to an indenture (the “Indenture”), dated as of June 22, 2026, between us and U.S. Bank Trust Company, National Association, as trustee (the “Trustee”). We incurred $10.2 million in related issuance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Notes will mature on July 1, 2031, unless earlier converted, redeemed or repurchased. The Notes do not bear regular interest, and the principal amount of the Notes will not accrete. The Notes are our senior, unsecured obligations. Subject to limited exceptions, noteholders may not convert their Notes until April 1, 2031, on which date noteholders may convert their Notes until the close of business on the second trading day before the maturity date. We may settle conversions in cash, shares of our common stock (up to 20,034,840 shares) or a combination of cash and shares of our common stock, at our election. The initial conversion rate is 41.4800 shares of common stock per $1,000 principal amount of Notes, which represents an initial conversion price of approximately $24.11 per share of common stock. The conversion rate and conversion price will be subject to adjustment upon the occurrence of certain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Notes will be redeemable, in whole or in part, on or after July 1, 2029 and on or before the 40th trading day before the maturity date, if the last reported sale price per share of our common stock exceeds 130% of the conversion price and certain conditions are satisfied. The redemption price will be equal to the principal amount of the Notes to be redeemed, plus any accrued and unpaid special interest and additional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certain business combination transactions or de-listing events that constitute a “Fundamental Change” (as defined in the Indenture) occurs, then noteholders may require us to repurchase their Notes for cash. The repurchase price will be equal to the principal amount of the Notes to be repurchased, plus any accrued and unpaid special interest and additional interest. If a “make-whole fundamental change” (as defined in the Indenture) occurs, then we will in certain circumstances increase the conversion rate for a specified period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Indenture contains customary events of default, which include defaults relating to payment on the Notes, conversion of the Notes, covenants relating to consolidations, mergers, or sales of all or substantially all of our assets, and certain insolvency events. Certain insolvency events will result in the principal amount of, and any accrued and unpaid interest on, all of the Notes then outstanding becoming immediately due and payable, and other events of default require the Trustee or noteholders of at least 25% aggregate principal amount of the Notes then outstanding to declare the principal amount of, and any accrued and unpaid interest on, all of the Notes then outstanding due and payable immediately. Some events of default have cure periods or may be addressed by our paying additional interest.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conditions allowing the noteholders to convert were not met. We recognize the Notes, at par, net of unamortized issuance costs, as a long-term liability under the convertible senior notes, net line item on the unaudited condensed consolidated balance sheets. Issuance costs are being amortized over the term of the Notes using the effective interest method, recognized as interest expense on the unaudited condensed consolidated statements of operations. We recognized $43,000 in interest expense related to the Notes during the three and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carrying amounts of the liability components of the Notes were as follows as of June 30, 2026 (in thousands):</w:t>
      </w:r>
    </w:p>
    <w:p>
      <w:pPr>
        <w:pStyle w:val="TextBody"/>
        <w:bidi w:val="0"/>
        <w:jc w:val="left"/>
        <w:rPr/>
      </w:pPr>
      <w:r>
        <w:rPr/>
        <w:t> </w:t>
      </w:r>
    </w:p>
    <w:tbl>
      <w:tblPr>
        <w:tblW w:w="4210" w:type="dxa"/>
        <w:jc w:val="left"/>
        <w:tblInd w:w="0" w:type="dxa"/>
        <w:tblLayout w:type="fixed"/>
        <w:tblCellMar>
          <w:top w:w="28" w:type="dxa"/>
          <w:left w:w="28" w:type="dxa"/>
          <w:bottom w:w="28" w:type="dxa"/>
          <w:right w:w="28" w:type="dxa"/>
        </w:tblCellMar>
      </w:tblPr>
      <w:tblGrid>
        <w:gridCol w:w="2661"/>
        <w:gridCol w:w="146"/>
        <w:gridCol w:w="211"/>
        <w:gridCol w:w="781"/>
        <w:gridCol w:w="411"/>
      </w:tblGrid>
      <w:tr>
        <w:trPr/>
        <w:tc>
          <w:tcPr>
            <w:tcW w:w="2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total estimated fair value of the Notes was $403.4 million. The fair value was estimated based on quoted trading prices on the last day of trading for the period (Level 2).</w:t>
      </w:r>
    </w:p>
    <w:p>
      <w:pPr>
        <w:pStyle w:val="Heading2"/>
        <w:bidi w:val="0"/>
        <w:spacing w:before="360" w:after="120"/>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jc w:val="left"/>
        <w:rPr>
          <w:rFonts w:ascii="Times New Roman" w:hAnsi="Times New Roman"/>
          <w:color w:val="000000"/>
          <w:sz w:val="20"/>
        </w:rPr>
      </w:pPr>
      <w:r>
        <w:rPr>
          <w:rFonts w:ascii="Times New Roman" w:hAnsi="Times New Roman"/>
          <w:color w:val="000000"/>
          <w:sz w:val="20"/>
        </w:rPr>
        <w:t>In connection with the pricing and exercise by the initial purchasers of their option to purchase additional Notes, we entered into privately negotiated capped call transactions (collectively, the “Capped Call Transactions”) with certain of the initial purchasers or their affiliates and certain other financial institutions (the “Option Counterparties”). The Capped Call Transactions are generally expected to reduce the potential dilution to our common stock upon any conversion of the Notes and/or offset any potential cash payments the Company is required to make in excess of the principal amount of converted Notes, as the case may be, with such reduction and/or offset subject to a cap. The cap price of the Capped Call Transactions is initially $34.44 per share of our common stock, representing a premium of 100% over the last reported sale price of our common stock of $17.22 per share on June 16,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are separate transactions entered into by us with the Option Counterparties, are not part of the terms of the Notes and will not change the noteholders’ rights. Noteholders will not have any rights with respect to the Capped Call Transactions. All of the capped calls were outstanding as of June 30, 2026.</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9. Revenue Interest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2022, we entered into the Purchase Agreement with OrbiMed Royalty &amp; Credit Opportunities IV, LP (“OrbiMed”), an affiliate of OrbiMed Advisors LLC, as collateral agent and administrative agent for the purchasers party thereto (the “Purchasers”). Pursuant to the Purchase Agreement, we received $125.0 million from the Purchasers at closing, less certain transaction expenses. As consideration for such payments, the Purchasers had a right to receive certain revenue interests (the “Revenue Interests”) from us based on a percentage of all GAAP revenue. Payments in respect of the Revenue Interests were to be made quarterly within 45 days following the end of each fiscal quarter (each, a “Revenue Interest Payment”).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June 22, 2026, we used $156.9 million of proceeds from the Notes offering to repurchase all Revenue Interests outstanding and satisfied all obligations under the Purchase Agreement, effectively terminating the Purchase Agreement. In connection with the termination and in accordance with Accounting Standards Codification Topic 470, </w:t>
      </w:r>
      <w:r>
        <w:rPr>
          <w:rFonts w:ascii="Times New Roman" w:hAnsi="Times New Roman"/>
          <w:i/>
          <w:color w:val="000000"/>
          <w:sz w:val="20"/>
        </w:rPr>
        <w:t>Debt</w:t>
      </w:r>
      <w:r>
        <w:rPr>
          <w:rFonts w:ascii="Times New Roman" w:hAnsi="Times New Roman"/>
          <w:color w:val="000000"/>
          <w:sz w:val="20"/>
        </w:rPr>
        <w:t>, we recorded a loss on debt extinguishment of $23.7 million in the loss on revenue interest liability extinguishment line item of the condensed consolidated statements of operations for the three and six months ended June 30, 2026.</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Accounting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initial transaction as debt recorded at amortized cost using the effective interest rate method. To determine the amortization of the Purchase Agreement obligation, we were required to estimate the amount and timing of future Revenue Interest Payments based on our estimate of the timing and amount of future revenues and calculated an effective interest rate which would amortize the obligation to zero over the amortization period. We imputed interest expense associated with the liability through the Revenue Interests repurchase date of June 22,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Purchase Agreement, we incurred debt issuance costs of $0.6 million. Debt issuance costs were recorded to debt and were amortized over the term of the debt using the effective interest method.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assumptions used in determining the expected repayment term of the obligation and amortization period of the issuance costs required us to make estimates that could impact the short- and long-term classification of these costs, as well as the period over which these costs were to be amortized. We periodically assessed the amount and timing of expected Revenue Interest Payments based on internal forecasts. To the extent such payments were greater or less than our initial estimates or the timing of such payments was materially different than our original estimates, we would prospectively adjust the amortization of the revenue interest liability and the issuance costs, as well as the effective interest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revenue interest liability, net activity during the six months ended June 30, 2026 (in thousands):</w:t>
      </w:r>
    </w:p>
    <w:p>
      <w:pPr>
        <w:pStyle w:val="TextBody"/>
        <w:bidi w:val="0"/>
        <w:jc w:val="left"/>
        <w:rPr/>
      </w:pPr>
      <w:r>
        <w:rPr/>
        <w:t> </w:t>
      </w:r>
    </w:p>
    <w:tbl>
      <w:tblPr>
        <w:tblW w:w="5960" w:type="dxa"/>
        <w:jc w:val="left"/>
        <w:tblInd w:w="0" w:type="dxa"/>
        <w:tblLayout w:type="fixed"/>
        <w:tblCellMar>
          <w:top w:w="28" w:type="dxa"/>
          <w:left w:w="28" w:type="dxa"/>
          <w:bottom w:w="28" w:type="dxa"/>
          <w:right w:w="28" w:type="dxa"/>
        </w:tblCellMar>
      </w:tblPr>
      <w:tblGrid>
        <w:gridCol w:w="4351"/>
        <w:gridCol w:w="146"/>
        <w:gridCol w:w="211"/>
        <w:gridCol w:w="841"/>
        <w:gridCol w:w="4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interest liability, net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Revenue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revenue interest liability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interest liability, net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revenue interest payable as of June 30, 2026. Revenue interest payable of $3.6 million was included within the accounts payable balance on the condensed consolidated balance sheet as of December 31, 2025.</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10. Commitments and Contingencies</w:t>
      </w:r>
    </w:p>
    <w:p>
      <w:pPr>
        <w:pStyle w:val="Heading2"/>
        <w:bidi w:val="0"/>
        <w:spacing w:before="120" w:after="283"/>
        <w:jc w:val="left"/>
        <w:rPr>
          <w:rFonts w:ascii="Times New Roman" w:hAnsi="Times New Roman"/>
          <w:sz w:val="20"/>
        </w:rPr>
      </w:pPr>
      <w:r>
        <w:rPr>
          <w:rFonts w:ascii="Times New Roman" w:hAnsi="Times New Roman"/>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claims and assessments from time to time in the ordinary course of business. We will accrue a liability for such matters when it is probable that a liability has been incurred and the amount can be reasonably estimated. When only a range of possible loss can be established, the most probable amount in the range is accrued. If no amount within this range is a better estimate than any other amount within the range, the minimum amount in the range is accrued. We were not party to any material legal proceedings as of June 30, 2026. </w:t>
      </w:r>
    </w:p>
    <w:p>
      <w:pPr>
        <w:pStyle w:val="Heading2"/>
        <w:bidi w:val="0"/>
        <w:spacing w:before="360" w:after="283"/>
        <w:jc w:val="left"/>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may provide indemnification of varying scope and terms to vendors, lessors, customers and other parties with respect to certain matters including, but not limited to, losses arising out of breach of our agreements with them or from intellectual property infringement claims made by third parties. In addition, we have entered into indemnification agreements with members of our board of directors and certain of our executive officers that will require us to indemnify them against certain liabilities that may arise by reason of their status or service as directors or officers. The maximum potential amount of future payments that we could be required to make under these indemnification agreements is, in many cases, unlimited. We have not incurred any material costs as a result of such indemnifications and are not currently aware of any indemnification claims.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11. Shareholders’ Equity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no preferences or privileges and is not redeemable. Holders of our common stock are entitled to one vote for each share of common stock held. The holders of record of outstanding shares of common stock shall be entitled to receive, when, as and if declared, out of funds legally available, such cash and other dividends as may be declared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2019 Equity Incentive Plan (the “2019 Plan”) provides for annual increases in the number of shares that may be issued under the 2019 Plan on January 1, 2020 and on each subsequent January 1, thereafter, by a number of shares equal to the lesser of (a) 5% of the number of shares of common stock issued and outstanding on the immediately preceding December 31, or (b) an amount determined by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Employee Stock Purchase Plan (the “ESPP”) provides for annual increases in the number of shares available for issuance under our ESPP on January 1, 2020 and on each January 1, thereafter, by a number of shares equal to the smallest of (a) 1% of the number of shares of common stock issued and outstanding on the immediately preceding December 31, or (b) an amount determined by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January 1, 2026, our 2019 Plan reserve increased by 7,688,970 shares. Our board of directors determined not to increase the ESPP reserve in 2026.</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2026, we purchased 1,451,800 shares of our common stock at a price of $17.22 per share in privately negotiated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reserved shares of common stock for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86"/>
        <w:gridCol w:w="146"/>
        <w:gridCol w:w="146"/>
        <w:gridCol w:w="1036"/>
        <w:gridCol w:w="391"/>
      </w:tblGrid>
      <w:tr>
        <w:trPr/>
        <w:tc>
          <w:tcPr>
            <w:tcW w:w="8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upon the exercise of outstanding stock 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upon the vesting of outstanding restricted stock units granted and the maximum outstanding performance-based and market-based restricted stock units granted eligible to be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13,803,035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grant under the 2019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16,888,891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grant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5,686,170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Maximum shares issuable upon the conversion of senior notes due in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20,034,840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8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of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64,991,877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160" w:after="283"/>
        <w:jc w:val="left"/>
        <w:rPr>
          <w:rFonts w:ascii="Times New Roman" w:hAnsi="Times New Roman"/>
          <w:color w:val="000000"/>
          <w:sz w:val="20"/>
        </w:rPr>
      </w:pPr>
      <w:r>
        <w:rPr>
          <w:rFonts w:ascii="Times New Roman" w:hAnsi="Times New Roman"/>
          <w:color w:val="000000"/>
          <w:sz w:val="20"/>
        </w:rPr>
        <w:t>12. Equity Incentive Plans</w:t>
      </w:r>
    </w:p>
    <w:p>
      <w:pPr>
        <w:pStyle w:val="Heading1"/>
        <w:bidi w:val="0"/>
        <w:spacing w:before="120" w:after="283"/>
        <w:jc w:val="left"/>
        <w:rPr>
          <w:rFonts w:ascii="Times New Roman" w:hAnsi="Times New Roman"/>
          <w:i/>
          <w:color w:val="000000"/>
          <w:sz w:val="20"/>
        </w:rPr>
      </w:pPr>
      <w:r>
        <w:rPr>
          <w:rFonts w:ascii="Times New Roman" w:hAnsi="Times New Roman"/>
          <w:i/>
          <w:color w:val="000000"/>
          <w:sz w:val="20"/>
        </w:rPr>
        <w:t>2009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adopted an equity incentive plan in 2009 (the “2009 Plan”) that provided for the issuance of incentive and nonqualified common stock options and other share-based awards for employees, directors and consultants. Under the 2009 Plan, the exercise price for incentive and nonqualified stock options were not to be less than the fair market value of our common stock at the date of grant. Stock options granted under this plan expire no later than ten years from the grant date and vesting was established at the time of grant. Pursuant to the terms of the 2019 Plan, any shares subject to outstanding stock options originally granted under the 2009 Plan that terminate, expire or lapse for any reason without the delivery of shares to the holder thereof shall become available for issuance pursuant to awards granted under the 2019 Plan. While no shares are available for future grant under the 2009 Plan, it continues to govern outstanding equity awards granted thereunder.</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2019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2019 Plan became effective immediately prior to the closing of our initial public offering in July 2019. The 2019 Plan provides for the issuance of awards in the form of stock options and other share-based awards for employees, directors and consultants. Under the 2019 Plan, the stock option exercise price per share shall not be less than the fair market value of a share of stock on the effective date of grant, as defined by the 2019 Plan, unless explicitly qualified under the provisions of Section 409A or Section 424(a) of the Internal Revenue Code of 1986. Additionally, unless otherwise specified, stock options granted under this plan expire no later than ten years from the grant date and vesting is established at the time of grant. Except for certain awards granted to non-employee directors, stock options and restricted stock units granted under the 2019 Plan generally vest over a four-year period, subject to continuous service through each applicable vesting date. As of June 30, 2026, we had 36,822,515 shares of common stock authorized for issuance under the 2019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shares available for grant during the six months ended June 30, 2026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62"/>
        <w:gridCol w:w="146"/>
        <w:gridCol w:w="207"/>
        <w:gridCol w:w="1477"/>
        <w:gridCol w:w="413"/>
      </w:tblGrid>
      <w:tr>
        <w:trPr/>
        <w:tc>
          <w:tcPr>
            <w:tcW w:w="7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Available for Grant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11,542,119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2019 Equity Incentive Plan reserve increase effective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7,688,970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and restricted stock units granted and the maximum performance-based and market-based restricted stock units granted eligible to be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(3,281,902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9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restricted stock units and performance-based restricted stock units 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939,704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16,888,891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 activity under the 2009 Plan and 2019 Plan during the six months ended June 30, 2026 was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3"/>
        <w:gridCol w:w="146"/>
        <w:gridCol w:w="233"/>
        <w:gridCol w:w="1590"/>
        <w:gridCol w:w="166"/>
        <w:gridCol w:w="146"/>
        <w:gridCol w:w="523"/>
        <w:gridCol w:w="1421"/>
        <w:gridCol w:w="146"/>
        <w:gridCol w:w="146"/>
        <w:gridCol w:w="402"/>
        <w:gridCol w:w="1289"/>
        <w:gridCol w:w="394"/>
      </w:tblGrid>
      <w:tr>
        <w:trPr/>
        <w:tc>
          <w:tcPr>
            <w:tcW w:w="3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6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Subject to</w:t>
              <w:br/>
              <w:t>Outstanding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3"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7,692,837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weighted-average remaining contractual life for stock options outstanding as of June 30, 2026 was 4.6 years. The weighted-average remaining contractual life for stock options vested and exercisable as of June 30, 2026 was 4.2 years.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unit activity under the 2019 Plan during the six months ended June 30, 2026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55"/>
        <w:gridCol w:w="146"/>
        <w:gridCol w:w="215"/>
        <w:gridCol w:w="1468"/>
        <w:gridCol w:w="166"/>
        <w:gridCol w:w="146"/>
        <w:gridCol w:w="623"/>
        <w:gridCol w:w="1692"/>
        <w:gridCol w:w="394"/>
      </w:tblGrid>
      <w:tr>
        <w:trPr/>
        <w:tc>
          <w:tcPr>
            <w:tcW w:w="5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w:t>
              <w:br/>
              <w:t>Fair Value per Share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11,245,666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executive officers was granted an award of 124,976 shares of performance-based restricted stock units in 2025 (which had a grant date fair value of $7.28 per share), which was subsequently forfeited during the six months ended June 30, 2026, given the related financial metric was not achieved.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Separately, during the six months ended June 30, 2026, our executive officers were granted awards of performance-based restricted stock units. The total number of shares of common stock that may be earned under the respective awards range from zero shares to 603,746 shares and are calculated based on an MRD revenue compound annual growth rate metric, as measured over a three-year performance period. Except as expressly provided in the terms of each award’s agreement, vesting is subject to the respective grantee’s continuous service through the end of the three-year performance period.</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Market-Based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Separate from the restricted stock units described above, our executive officers have been granted awards of market-based restricted stock units. The number of shares of common stock that may be earned under the respective awards range from zero shares to a defined maximum number of shares and are calculated based on our total shareholder return during a three-year performance period as measured against that of the group of companies comprising the S&amp;P Biotechnology Select Industry Index as of the grant date or other applicable date, subject to certain adjustments to such index group. Except as expressly provided in the terms of each award’s agreement, vesting is subject to the respective grantee’s continuous service through the end of the three-year performance period.</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Market-based restricted stock unit activity under the 2019 Plan during the six months ended June 30, 2026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32"/>
        <w:gridCol w:w="146"/>
        <w:gridCol w:w="269"/>
        <w:gridCol w:w="1832"/>
        <w:gridCol w:w="166"/>
        <w:gridCol w:w="146"/>
        <w:gridCol w:w="544"/>
        <w:gridCol w:w="1477"/>
        <w:gridCol w:w="393"/>
      </w:tblGrid>
      <w:tr>
        <w:trPr/>
        <w:tc>
          <w:tcPr>
            <w:tcW w:w="5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Market-Based Restricted</w:t>
              <w:br/>
              <w:t>Stock Units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w:t>
              <w:br/>
              <w:t>Fair Value per Share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maximum market-based restricted stock units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Maximum market-based 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Market-based 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maximum market-based restricted stock units 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4,542,198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spacing w:before="360" w:after="120"/>
        <w:jc w:val="left"/>
        <w:rPr>
          <w:rFonts w:ascii="Times New Roman" w:hAnsi="Times New Roman"/>
          <w:i/>
          <w:color w:val="000000"/>
          <w:sz w:val="20"/>
        </w:rPr>
      </w:pPr>
      <w:r>
        <w:rPr>
          <w:rFonts w:ascii="Times New Roman" w:hAnsi="Times New Roman"/>
          <w:i/>
          <w:color w:val="000000"/>
          <w:sz w:val="20"/>
        </w:rPr>
        <w:t>Grant Date Fair Value of Restricted Stock Units, Performance-Based Restricted Stock Units and Market-Based Restricted Stock Units Granted</w:t>
      </w:r>
    </w:p>
    <w:p>
      <w:pPr>
        <w:pStyle w:val="TextBody"/>
        <w:bidi w:val="0"/>
        <w:jc w:val="left"/>
        <w:rPr>
          <w:rFonts w:ascii="Times New Roman" w:hAnsi="Times New Roman"/>
          <w:color w:val="000000"/>
          <w:sz w:val="20"/>
        </w:rPr>
      </w:pPr>
      <w:r>
        <w:rPr>
          <w:rFonts w:ascii="Times New Roman" w:hAnsi="Times New Roman"/>
          <w:color w:val="000000"/>
          <w:sz w:val="20"/>
        </w:rPr>
        <w:t xml:space="preserve">The grant date fair value of restricted stock units granted is based on the closing price of our common stock on the date of grant, or other relevant determination date, as reported on The Nasdaq Global Select Market. The weighted-average grant date fair value per share of restricted stock units granted during the six months ended June 30, 2026 and 2025 was $16.38 and $8.13,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grant date fair value per share of the performance-based restricted stock units granted during the six months ended June 30, 2026 and 2025 was $16.44 and $7.28, respectively, and was based on the closing price of our common stock on the date of grant, as reported on The Nasdaq Global Select Market. Expense is recognized ratably over the requisite service period, at the estimated attainment level, only if achievement of the performance attainment level is deemed probable. Previously recognized compensation cost will be reversed to the extent a prior attainment level is no longer deemed probable or is deemed not met. Probability of achievement is assessed periodically. If a grantee ceases to provide continued service through the applicable vesting date for reasons other than those expressly provided in the terms of the respective award, compensation cost recognized for unvested shares will be reversed in the period in which service ceased.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grant date fair value per share of the market-based restricted stock units granted during the six months ended June 30, 2026 and 2025 was $27.15 and $13.50, respectively, and was determined using a Monte Carlo valuation model, which uses assumptions such as volatility, risk-free interest rate and dividend estimated for the respective performance periods. Aggregate share-based compensation expense is calculated based on the target payout level of shares granted and is recognized on a straight-line basis over the respective grants' performance periods, which are also the requisite service periods. Attainment of each grant's respective market condition and the number of shares earned and vested does not impact the related share-based compensation expense recognized. Share-based compensation expense is reversed only if the respective grantee does not provide continuous service through the respective performance period for reasons other than those expressly provided in the terms of the respective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cost related to stock options, restricted stock units, performance-based restricted stock units and market-based restricted stock units for the three and six months ended June 30, 2026 and 2025, respectively, are included on the unaudited condensed consolidated statements of operations as follows (in thousands):</w:t>
      </w:r>
    </w:p>
    <w:p>
      <w:pPr>
        <w:pStyle w:val="TextBody"/>
        <w:bidi w:val="0"/>
        <w:jc w:val="left"/>
        <w:rPr/>
      </w:pPr>
      <w:r>
        <w:rPr/>
        <w:t> </w:t>
      </w:r>
    </w:p>
    <w:tbl>
      <w:tblPr>
        <w:tblW w:w="8797" w:type="dxa"/>
        <w:jc w:val="left"/>
        <w:tblInd w:w="0" w:type="dxa"/>
        <w:tblLayout w:type="fixed"/>
        <w:tblCellMar>
          <w:top w:w="28" w:type="dxa"/>
          <w:left w:w="28" w:type="dxa"/>
          <w:bottom w:w="28" w:type="dxa"/>
          <w:right w:w="28" w:type="dxa"/>
        </w:tblCellMar>
      </w:tblPr>
      <w:tblGrid>
        <w:gridCol w:w="3636"/>
        <w:gridCol w:w="146"/>
        <w:gridCol w:w="231"/>
        <w:gridCol w:w="741"/>
        <w:gridCol w:w="160"/>
        <w:gridCol w:w="160"/>
        <w:gridCol w:w="231"/>
        <w:gridCol w:w="741"/>
        <w:gridCol w:w="146"/>
        <w:gridCol w:w="146"/>
        <w:gridCol w:w="211"/>
        <w:gridCol w:w="677"/>
        <w:gridCol w:w="146"/>
        <w:gridCol w:w="146"/>
        <w:gridCol w:w="211"/>
        <w:gridCol w:w="677"/>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unrecognized share-based compensation expense and the remaining weighted-average recognition period were as follows:</w:t>
      </w:r>
    </w:p>
    <w:p>
      <w:pPr>
        <w:pStyle w:val="TextBody"/>
        <w:bidi w:val="0"/>
        <w:jc w:val="left"/>
        <w:rPr/>
      </w:pPr>
      <w:r>
        <w:rPr/>
        <w:t> </w:t>
      </w:r>
    </w:p>
    <w:tbl>
      <w:tblPr>
        <w:tblW w:w="9255" w:type="dxa"/>
        <w:jc w:val="left"/>
        <w:tblInd w:w="0" w:type="dxa"/>
        <w:tblLayout w:type="fixed"/>
        <w:tblCellMar>
          <w:top w:w="28" w:type="dxa"/>
          <w:left w:w="28" w:type="dxa"/>
          <w:bottom w:w="28" w:type="dxa"/>
          <w:right w:w="28" w:type="dxa"/>
        </w:tblCellMar>
      </w:tblPr>
      <w:tblGrid>
        <w:gridCol w:w="4291"/>
        <w:gridCol w:w="146"/>
        <w:gridCol w:w="484"/>
        <w:gridCol w:w="1556"/>
        <w:gridCol w:w="146"/>
        <w:gridCol w:w="146"/>
        <w:gridCol w:w="546"/>
        <w:gridCol w:w="1749"/>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Unrecognized Share-Based</w:t>
              <w:br/>
              <w:t>Compensation Expense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Weighted-Average</w:t>
              <w:br/>
              <w:t>Recognition Period</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market-based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240" w:after="283"/>
        <w:jc w:val="left"/>
        <w:rPr>
          <w:rFonts w:ascii="Times New Roman" w:hAnsi="Times New Roman"/>
          <w:color w:val="000000"/>
          <w:sz w:val="20"/>
        </w:rPr>
      </w:pPr>
      <w:r>
        <w:rPr>
          <w:rFonts w:ascii="Times New Roman" w:hAnsi="Times New Roman"/>
          <w:color w:val="000000"/>
          <w:sz w:val="20"/>
        </w:rPr>
        <w:t>13. Net Loss Per Share Attributable to Adaptive Biotechnologies Corporation Common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share attributable to our common shareholders for the three and six months ended June 30, 2026 and 2025, respectively (in thousands, except share and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04"/>
        <w:gridCol w:w="146"/>
        <w:gridCol w:w="211"/>
        <w:gridCol w:w="1141"/>
        <w:gridCol w:w="166"/>
        <w:gridCol w:w="146"/>
        <w:gridCol w:w="211"/>
        <w:gridCol w:w="1141"/>
        <w:gridCol w:w="166"/>
        <w:gridCol w:w="146"/>
        <w:gridCol w:w="211"/>
        <w:gridCol w:w="1141"/>
        <w:gridCol w:w="166"/>
        <w:gridCol w:w="146"/>
        <w:gridCol w:w="211"/>
        <w:gridCol w:w="1141"/>
        <w:gridCol w:w="211"/>
      </w:tblGrid>
      <w:tr>
        <w:trPr/>
        <w:tc>
          <w:tcPr>
            <w:tcW w:w="3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Adaptive Biotechnologies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Adaptive Biotechnologies Corporation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159,855,257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152,082,284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157,700,126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150,646,632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Adaptive Biotechnologies Corporation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231F20"/>
          <w:sz w:val="20"/>
        </w:rPr>
      </w:pPr>
      <w:r>
        <w:rPr>
          <w:rFonts w:ascii="Times New Roman" w:hAnsi="Times New Roman"/>
          <w:color w:val="231F20"/>
          <w:sz w:val="20"/>
        </w:rPr>
        <w:t>Given the loss position for all periods presented, basic net loss per share attributable to our common shareholders is the same as diluted net loss per share attributable to our common shareholders, as the inclusion of all potential shares of common stock outstanding would have been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weighted-average common stock equivalents excluded from the calculation of diluted net loss per share attributable to our common shareholders because of their anti-dilutive effect were 24.3 million and 28.8 million for the three months ended June 30, 2026 and 2025, respectively, and 25.0 million and 27.9 million for the six months ended June 30, 2026 and 2025, respectively. These common stock equivalents are comprised of shares that may be issued under our stock option, restricted stock, performance-based restricted stock and market-based restricted stock programs, as well as under the Notes using the if-converted method. The shares issuable in connection with a make-whole fundamental change were not considered common stock equivalents when calculating the number of weighted-average common stock equivalents excluded from the calculation of diluted net loss per share attributable to our common shareholders during the three and six months ended June 30, 2026.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14. Segment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are no inter-segment revenues. See Note 3, </w:t>
      </w:r>
      <w:r>
        <w:rPr>
          <w:rFonts w:ascii="Times New Roman" w:hAnsi="Times New Roman"/>
          <w:i/>
          <w:color w:val="000000"/>
          <w:sz w:val="20"/>
        </w:rPr>
        <w:t xml:space="preserve">Revenue </w:t>
      </w:r>
      <w:r>
        <w:rPr>
          <w:rFonts w:ascii="Times New Roman" w:hAnsi="Times New Roman"/>
          <w:color w:val="000000"/>
          <w:sz w:val="20"/>
        </w:rPr>
        <w:t>for more information about each segment’s revenue. Our chief operating decision maker (“CODM”) is not regularly provided and does not review assets to assess each segment’s performance, make strategic decisions or allocate resources. As such, assets for reportable segments are not disclosed.</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segment information, including significant segment expenses that are (or are easily computable from) information regularly provided to our CODM, for the three and six months ended June 30, 2026 and 2025, respectively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211"/>
        <w:gridCol w:w="676"/>
        <w:gridCol w:w="146"/>
        <w:gridCol w:w="146"/>
        <w:gridCol w:w="246"/>
        <w:gridCol w:w="788"/>
        <w:gridCol w:w="166"/>
        <w:gridCol w:w="146"/>
        <w:gridCol w:w="211"/>
        <w:gridCol w:w="736"/>
        <w:gridCol w:w="166"/>
        <w:gridCol w:w="146"/>
        <w:gridCol w:w="211"/>
        <w:gridCol w:w="676"/>
        <w:gridCol w:w="146"/>
        <w:gridCol w:w="146"/>
        <w:gridCol w:w="254"/>
        <w:gridCol w:w="816"/>
        <w:gridCol w:w="166"/>
        <w:gridCol w:w="146"/>
        <w:gridCol w:w="211"/>
        <w:gridCol w:w="736"/>
        <w:gridCol w:w="413"/>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Immune Medicine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Immune Medicine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 segment non-cash and restructuring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Impairment of long-lived assets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Restructuring expense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to reconcile to 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non-cash and restructuring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unallocated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(25,593</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92"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*Non-significant segment expenses for Immune Medicine.</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1"/>
        <w:gridCol w:w="146"/>
        <w:gridCol w:w="211"/>
        <w:gridCol w:w="781"/>
        <w:gridCol w:w="146"/>
        <w:gridCol w:w="146"/>
        <w:gridCol w:w="232"/>
        <w:gridCol w:w="811"/>
        <w:gridCol w:w="166"/>
        <w:gridCol w:w="146"/>
        <w:gridCol w:w="211"/>
        <w:gridCol w:w="781"/>
        <w:gridCol w:w="166"/>
        <w:gridCol w:w="146"/>
        <w:gridCol w:w="211"/>
        <w:gridCol w:w="676"/>
        <w:gridCol w:w="166"/>
        <w:gridCol w:w="146"/>
        <w:gridCol w:w="238"/>
        <w:gridCol w:w="831"/>
        <w:gridCol w:w="166"/>
        <w:gridCol w:w="146"/>
        <w:gridCol w:w="211"/>
        <w:gridCol w:w="781"/>
        <w:gridCol w:w="413"/>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Immune Medicine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MRD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Immune Medicine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 segment non-cash and restructuring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Impairment of long-lived assets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Restructuring expense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to reconcile to 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non-cash and restructuring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unallocated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(55,423</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92"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*Non-significant segment expenses for Immune Medicine.</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231F20"/>
          <w:sz w:val="20"/>
        </w:rPr>
        <w:t>Costs related to Digital Biotechnologies, Inc. are no longer included as Immune Medicine costs and have been reclassified to the “other unallocated items” total.</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For the Immune Medicine segment, includes all Immune Medicine operating expenses, other than research and development expenses.</w:t>
      </w:r>
    </w:p>
    <w:p>
      <w:pPr>
        <w:pStyle w:val="TextBody"/>
        <w:bidi w:val="0"/>
        <w:jc w:val="left"/>
        <w:rPr>
          <w:rFonts w:ascii="Times New Roman" w:hAnsi="Times New Roman"/>
          <w:sz w:val="20"/>
        </w:rPr>
      </w:pPr>
      <w:r>
        <w:rPr>
          <w:rFonts w:ascii="Times New Roman" w:hAnsi="Times New Roman"/>
          <w:color w:val="000000"/>
          <w:sz w:val="13"/>
        </w:rPr>
        <w:t xml:space="preserve">(3) </w:t>
      </w:r>
      <w:r>
        <w:rPr>
          <w:rFonts w:ascii="Times New Roman" w:hAnsi="Times New Roman"/>
          <w:color w:val="000000"/>
          <w:sz w:val="20"/>
        </w:rPr>
        <w:t>Represents expenses recognized in conjunction with a restructuring that primarily impacted research and development activities.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Adaptive Biotechnologies Corporation</w:t>
      </w:r>
    </w:p>
    <w:p>
      <w:pPr>
        <w:pStyle w:val="Heading1"/>
        <w:bidi w:val="0"/>
        <w:jc w:val="center"/>
        <w:rPr>
          <w:rFonts w:ascii="Times New Roman" w:hAnsi="Times New Roman"/>
          <w:color w:val="000000"/>
          <w:sz w:val="20"/>
        </w:rPr>
      </w:pPr>
      <w:r>
        <w:rPr>
          <w:rFonts w:ascii="Times New Roman" w:hAnsi="Times New Roman"/>
          <w:color w:val="000000"/>
          <w:sz w:val="20"/>
        </w:rPr>
        <w:t>Notes to Unaudited Condensed Consolidated Financial Statements (Continued)</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(4) </w:t>
      </w:r>
      <w:r>
        <w:rPr>
          <w:rFonts w:ascii="Times New Roman" w:hAnsi="Times New Roman"/>
          <w:color w:val="000000"/>
          <w:sz w:val="20"/>
        </w:rPr>
        <w:t xml:space="preserve">Represents share-based compensation expense related to various awards. See Note 12, </w:t>
      </w:r>
      <w:r>
        <w:rPr>
          <w:rFonts w:ascii="Times New Roman" w:hAnsi="Times New Roman"/>
          <w:i/>
          <w:color w:val="000000"/>
          <w:sz w:val="20"/>
        </w:rPr>
        <w:t>Equity Incentive Plans</w:t>
      </w:r>
      <w:r>
        <w:rPr>
          <w:rFonts w:ascii="Times New Roman" w:hAnsi="Times New Roman"/>
          <w:color w:val="000000"/>
          <w:sz w:val="20"/>
        </w:rPr>
        <w:t xml:space="preserve"> for details on our share-based compensation expense.</w:t>
      </w:r>
    </w:p>
    <w:p>
      <w:pPr>
        <w:pStyle w:val="TextBody"/>
        <w:bidi w:val="0"/>
        <w:jc w:val="left"/>
        <w:rPr>
          <w:rFonts w:ascii="Times New Roman" w:hAnsi="Times New Roman"/>
          <w:sz w:val="20"/>
        </w:rPr>
      </w:pPr>
      <w:r>
        <w:rPr>
          <w:rFonts w:ascii="Times New Roman" w:hAnsi="Times New Roman"/>
          <w:color w:val="000000"/>
          <w:sz w:val="13"/>
        </w:rPr>
        <w:t xml:space="preserve">(5) </w:t>
      </w:r>
      <w:r>
        <w:rPr>
          <w:rFonts w:ascii="Times New Roman" w:hAnsi="Times New Roman"/>
          <w:color w:val="000000"/>
          <w:sz w:val="20"/>
        </w:rPr>
        <w:t>Segment Adjusted EBITDA is a non-GAAP financial measure we define as revenue less expenses, adjusted for depreciation and amortization expense, impairment costs for long-lived assets, restructuring expense and share-based compensation expense generated and incurred, respectively, by each segment. Adjusted EBITDA related to our unallocated category is included in the calculation of consolidated Adjusted EBITDA but not shown above in the breakout and aggregation of segment Adjusted EBITDA.</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w:t>
      </w:r>
      <w:r>
        <w:rPr>
          <w:rFonts w:ascii="Times New Roman" w:hAnsi="Times New Roman"/>
          <w:color w:val="000000"/>
          <w:sz w:val="20"/>
        </w:rPr>
        <w:t>’</w:t>
      </w:r>
      <w:r>
        <w:rPr>
          <w:rFonts w:ascii="Times New Roman" w:hAnsi="Times New Roman"/>
          <w:b/>
          <w:color w:val="000000"/>
          <w:sz w:val="20"/>
        </w:rPr>
        <w: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unaudited condensed consolidated financial statements and related notes and the other financial information appearing elsewhere in this report, as well as the other financial information we file with the SEC from time to time. Some of the information contained in this discussion and analysis or set forth elsewhere in this report, including information with respect to our plans and strategy for our business and related financing, includes forward-looking statements that involve risks and uncertainties relating to our future plans, objectives, expectations, intentions and financial performance and the assumptions that underlie these statements.</w:t>
      </w:r>
    </w:p>
    <w:p>
      <w:pPr>
        <w:pStyle w:val="TextBody"/>
        <w:bidi w:val="0"/>
        <w:spacing w:before="120" w:after="283"/>
        <w:jc w:val="left"/>
        <w:rPr>
          <w:rFonts w:ascii="Times New Roman" w:hAnsi="Times New Roman"/>
          <w:sz w:val="20"/>
        </w:rPr>
      </w:pPr>
      <w:r>
        <w:rPr>
          <w:rFonts w:ascii="Times New Roman" w:hAnsi="Times New Roman"/>
          <w:i/>
          <w:color w:val="000000"/>
          <w:sz w:val="20"/>
        </w:rPr>
        <w:t>As a result of many factors, including those factors set forth in the “Risk Factors” section of this report,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advancing the field of immune medicine by harnessing the inherent biology of the adaptive immune system to transform the diagnosis and treatment of disease. We believe the adaptive immune system is nature’s most finely tuned diagnostic and therapeutic for most diseases, but the inability to decode it has prevented the medical community from fully leveraging its capabilities. Our immune medicine platform applies our proprietary technologies to read the diverse genetic code of a patient’s immune system and understand precisely how the immune system detects and treats disease in that patient. We capture these insights in our dynamic clinical immunomics database and related antigen annotations, which are underpinned by computational biology and machine learning, and use them to develop and commercialize clinical products and services that can be tailored to the needs of individual patients. Our existing and future commercial products and services are aligned to two business areas which we refer to as MRD and Immune Medicine.</w:t>
      </w:r>
    </w:p>
    <w:p>
      <w:pPr>
        <w:pStyle w:val="TextBody"/>
        <w:bidi w:val="0"/>
        <w:spacing w:before="120" w:after="283"/>
        <w:jc w:val="left"/>
        <w:rPr>
          <w:rFonts w:ascii="Times New Roman" w:hAnsi="Times New Roman"/>
          <w:sz w:val="20"/>
        </w:rPr>
      </w:pPr>
      <w:r>
        <w:rPr>
          <w:rFonts w:ascii="Times New Roman" w:hAnsi="Times New Roman"/>
          <w:color w:val="000000"/>
          <w:sz w:val="20"/>
        </w:rPr>
        <w:t>Our current product and service offerings in MRD related to the MRD market are our clonoSEQ clinical diagnostic test, offered to clinicians, and our clonoSEQ or MRD assay, offered to biopharmaceutical partners to advance drug development efforts. Our first clinical diagnostic product, clonoSEQ, is the first test authorized by the Food and Drug Administration for the detection and monitoring of MRD in patients with multiple myeloma, B cell acute lymphoblastic leukemia and chronic lymphocytic leukemia, and is also available as a CLIA-validated laboratory developed test for patients with other lymphoid cancers, including diffuse large B cell lymphoma and mantle cell lymphoma (“MCL”). In the fourth quarter of 2024, we obtained Medicare coverage for MCL and initiated promotional efforts in MCL. We also obtained a new Medicare Clinical Laboratory Fee Schedule rate of $2,007 per test for clonoSEQ and MolDX separately updated the clonoSEQ episode pricing to $8,029 for all covered indications. This represented a 17% increase from the previous episode price. In April 2025, Palmetto GBA expanded coverage of clonoSEQ to include single time point testing to monitor for recurrence in patients with a history of MCL. This expanded coverage is in addition to the existing Medicare episode payment structure for clonoSEQ. With the use of clonoSEQ, we are transforming how lymphoid cancers are treated by working with providers, pharmaceutical partners and payors. In an effort to enable easier test ordering, we have integrated our clonoSEQ test into electronic medical record systems, including Epic Systems Corporation’s Aura and Flatiron Health, Inc.’s OncoEMR</w:t>
      </w:r>
      <w:r>
        <w:rPr>
          <w:rFonts w:ascii="Times New Roman" w:hAnsi="Times New Roman"/>
          <w:color w:val="000000"/>
          <w:sz w:val="13"/>
        </w:rPr>
        <w:t>®</w:t>
      </w:r>
      <w:r>
        <w:rPr>
          <w:rFonts w:ascii="Times New Roman" w:hAnsi="Times New Roman"/>
          <w:color w:val="000000"/>
          <w:sz w:val="20"/>
        </w:rPr>
        <w:t>, of numerous accounts.</w:t>
      </w:r>
    </w:p>
    <w:p>
      <w:pPr>
        <w:pStyle w:val="TextBody"/>
        <w:bidi w:val="0"/>
        <w:spacing w:before="120" w:after="283"/>
        <w:jc w:val="left"/>
        <w:rPr>
          <w:rFonts w:ascii="Times New Roman" w:hAnsi="Times New Roman"/>
          <w:sz w:val="20"/>
        </w:rPr>
      </w:pPr>
      <w:r>
        <w:rPr>
          <w:rFonts w:ascii="Times New Roman" w:hAnsi="Times New Roman"/>
          <w:color w:val="000000"/>
          <w:sz w:val="20"/>
        </w:rPr>
        <w:t>Immune Medicine leverages our proprietary ability to sequence, map, pair and characterize TCRs and B cell receptors at scale to drive opportunities in cancer and autoimmune disorders. Our capabilities enable us to offer an expanding suite of solutions including immune receptor sequencing, licensing of our proprietary data, TCR-antigen prediction models and our target discovery capabilities. We are applying artificial intelligence and machine learning models to map at scale TCR sequences to the diseases they bind to enable commercial offerings and our own product research initiatives</w:t>
      </w:r>
      <w:r>
        <w:rPr>
          <w:rFonts w:ascii="Arial" w:hAnsi="Arial"/>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revenue of $71.6 million and $58.9 million for the three months ended June 30, 2026 and 2025, respectively, and $142.4 million and $111.3 million for the six months ended June 30, 2026 and 2025, respectively. Net loss attributable to Adaptive Biotechnologies Corporation was $39.8 million and $25.6 million for the three months ended June 30, 2026 and 2025, respectively, and $59.8 million and $55.5 million for the six months ended June 30, 2026 and 2025, respectively. We have funded our operations to date principally from the sale of convertible preferred stock and common stock, including the sale of common stock in our initial public offering and follow-on offering, revenue, proceeds received from the revenue interest purchase agreement entered into in September 2022 (the “Purchase Agreement”) and proceeds received from the June 2026 issuance of 0% convertible senior notes due 2031 (the “Notes”). As of June 30, 2026 and December 31, 2025, we had cash, cash equivalents and marketable securities of $371.7 million and $240.2 million, respectively. These balances include $15.1 million and $13.1 million of cash and cash equivalents held by Digital Biotechnologies, Inc., respectively.</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spacing w:before="360" w:after="283"/>
        <w:jc w:val="left"/>
        <w:rPr>
          <w:rFonts w:ascii="Times New Roman" w:hAnsi="Times New Roman"/>
          <w:b/>
          <w:i/>
          <w:color w:val="212529"/>
          <w:sz w:val="20"/>
        </w:rPr>
      </w:pPr>
      <w:r>
        <w:rPr>
          <w:rFonts w:ascii="Times New Roman" w:hAnsi="Times New Roman"/>
          <w:b/>
          <w:i/>
          <w:color w:val="212529"/>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we announced our intention to pursue a separation of our Immune Medicine and MRD businesses, with the intent to identify our preferred path of separation by year-end 2026. Additionally, in July 2026, we decided to wind down our research-use-only pharma services offering for T-cell receptor sequencing, or Adaptive Immunosequencing. The change will enable the Immune Medicine business to focus on our proprietary TCR-antigen dataset, our artificial intelligence and machine learning digital models and our target discovery platform for autoimmune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in June 2026, we issued $345.0 million in aggregate principal amount of Notes and used $25.6 million of the proceeds to enter into privately negotiated capped call transactions. The capped call transactions are generally expected to reduce the potential dilution to our common stock upon any conversion of the Notes and/or offset any potential cash payments we are required to make in excess of the principal amount of converted Notes, as the case may be, with such reduction and/or offset subject to a cap. We also used $156.9 million of the proceeds to extinguish our revenue interest liability under the Purchase Agreement and $25.0 million to repurchase 1,451,800 shares of our common stock.</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Components of Results of Operations</w:t>
      </w:r>
    </w:p>
    <w:p>
      <w:pPr>
        <w:pStyle w:val="Heading2"/>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revenue by providing diagnostic and research services in our MRD and Immune Medicine business areas. Our MRD revenue consists of revenue generated from (1) providing our clonoSEQ report to clinical customers; (2) providing MRD sample testing services to biopharmaceutical customers and certain academic institutions, including investigator-led clinical trials; and (3) providing our clonoSEQ report or results to certain international laboratory sites through technology transfers. We disclose our clonoSEQ test volume, which includes the number of clonoSEQ reports and results we have provided to ordering physicians in the United States (“U.S.”) and international technology transfer sites. These volumes do not include sample results from our biopharmaceutical customers or academic institutions utilizing our MRD services. Our Immune Medicine revenue consists of revenue generated from (1) providing sample testing services for our commercial research product, Adaptive Immunosequencing; (2) data licensing and target discovery services; and (3) for periods prior to October 1, 2025, our former collaboration with Genentech, Inc. (“Genentech”) under the worldwide collaboration and license agreement with Genentech (the “Genentech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clinical customers, we primarily derive revenue from providing our clonoSEQ report to ordering physicians. We bill commercial, government and medical institution payors based on reports delivered to ordering physicians. Amounts paid for clonoSEQ by commercial, government and medical institution payors vary based on respective reimbursement rates and patient responsibilities, which may differ from our targeted list price. We recognize clinical revenue by evaluating customer payment history, contracted reimbursement rates, if applicable, and other adjustments to estimate the amount of revenue that is collectible.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clonoSEQ coverage under Medicare, we bill an episode of treatment when we deliver the first eligible test report. This billing contemplates all necessary tests required during a patient’s treatment cycle, which is currently estimated at approximately four tests per patient, including the initial sequence identification test. Revenue recognition commences at the time the initial billable test report is delivered and is based upon cumulative tests delivered to date. Any unrecognized revenue from the initial billable test is recorded as deferred revenue and recognized either as we deliver our estimate of the remaining tests in a patient’s treatment cycle or when the likelihood becomes remote that a patient will receive additional testing. In certain cases, we continue to provide services and incur costs for patients who exceed our number of estimated tests.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research customers, which include biopharmaceutical customers and academic institutions for both our MRD and Adaptive Immunosequencing services, delivery of the respective test results may include some level of professional support and analysis. Terms with biopharmaceutical customers generally include non-refundable payments made in advance of services (“upfront payments”), which we record as deferred revenue. For all research customers, we recognize revenue as we deliver sequencing results. From time to time, we offer discounts in order to gain rights and access to certain datasets. Revenue is recognized net of these discounts and costs associated with these services are reflected in cost of revenue. In periods where our sample estimates are reduced or a customer project is cancelled and, in either case, we have remaining related deferred revenue, we recognize revenue using a cumulative catch-up approach based on the proportion of samples delivered to date relative to the total samples expected to be delivered. Certain of our MRD revenue arrangements with biopharmaceutical customers include cash consideration from the achievement of regulatory milestones of the respective biopharmaceutical customers’ therapeutics. Such revenue is constrained from recognition until it becomes probable that such milestone will be achieved.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certain agreements with our biopharmaceutical customers who seek access to our platform to support their therapeutic development activities, revenues are generated from research and development support services that we provide or have developed. These agreements have included non-refundable upfront payments. Revenue recognized from these activities include revenue recognized from the former Genentech Agreement and a data licensing agreement.</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data licensing agreement, we provide non</w:t>
        <w:noBreakHyphen/>
        <w:t>exclusive licenses to specified TCR dataset tranches. We identified one performance obligation: the delivery of the respective TCR dataset tranche. We recognize revenue upon delivery of such licensed data. We also have the right to receive additional consideration upon the renewal or exercise of additional TCR dataset tranche licenses. These do not represent material rights, and as such, will be accounted for when and if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target discovery agreement, we received an initial upfront payment and rights to additional consideration upon the delivery of completed disease-specific TCRs pursuant to a research plan. We identified two distinct performance obligations: (1) to provide Adaptive Immunosequencing services for customer provided specimens; and (2) the delivery of the disease-specific TCRs with the associated license rights. The consideration allocated to each of the respective performance obligations is recognized as revenue upon the delivery of the respective datasets. If the customer elects to further develop therapeutics, we may be eligible to receive additional development, commercial and sales milestone payments that could total up to $877.5 million. All such development, commercial and sales</w:t>
        <w:noBreakHyphen/>
        <w:t>based milestone payments are fully constrained until the underlying triggering events occur. The customer is solely responsible for any subsequent development costs following the conclusion of the research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MRD revenue to increase in both the short term and long term as we continue to increase our MRD clinical testing volume through enhanced penetration in our existing covered patient populations, expand into new patient populations and optimize payor coverage. Our MRD revenue may fluctuate period to period due to the uncertain timing of receipt of our biopharmaceutical customer samples, which may cause uncertainty in the delivery of our products and services, the recognition of milestones related to regulatory approvals of our biopharmaceutical customers’ therapeutics and changes in estimates of our clinical revenue reimbursement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Immune Medicine revenue to decrease in the short term as we wind down Adaptive Immunosequencing services over the second half of 2026 and focus on target discovery business development efforts. Following the wind down of Adaptive Immunosequencing services, our Immune Medicine revenue may fluctuate from period to period due to the potential recognition of milestones under our target discovery agreement and any future licensing agreements.</w:t>
      </w:r>
    </w:p>
    <w:p>
      <w:pPr>
        <w:pStyle w:val="Heading2"/>
        <w:bidi w:val="0"/>
        <w:spacing w:before="36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includes the cost of materials, personnel-related expenses (including salaries, benefits and share-based compensation), shipping and handling expenses, equipment costs, allocated facility costs associated with processing samples and professional support costs related to our service revenue activities. Allocated facility costs include depreciation of laboratory equipment, as well as allocated facility occupancy and information technology costs. Costs associated with processing samples are recorded as expense, regardless of the timing of revenue recognition. As such, cost of revenue and related volume does not always trend in the same direction as revenue recognition and related volume. Additionally, costs to support the Genentech Agreement were a component of our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cost of revenue to moderately increase in the short term and to increase in absolute dollars in the long term as we grow our sample testing volume, but the cost per sample to decrease over the long term due to the efficiencies we may gain as assay volume increases from improved utilization of our laboratory capacity, automation and other value engineering initiatives. If our sample volume throughput is reduced, cost of revenue as a percentage of total revenue may be adversely impacted due to fixed overhead costs.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laboratory materials costs, personnel-related expenses (including salaries, benefits and share-based compensation), equipment costs, allocated facility and information technology costs and contract service expenses. Research and development activities support further development and refinement of existing assays and products, discovery of new technologies and investments in our immune medicine platform. We also include in research and development expenses the costs associated with software development of applications to support future commercial opportunities, as well as development activities to support laboratory scaling and workflow. We are currently conducting research and development activities for several products and services and we typically use our laboratory materials, personnel, facilities, information technology and other development resources across multiple development programs. Additionally, certain of these research and development activities benefit more than one of our product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support the Genentech Agreement were a component of our research and development expenses. Additionally, a component of our research and development expenses are costs supporting clinical and analytical validations to obtain regulatory approval for future clinical products and services. Some of these activities have generated and may in the future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research and development expenses to moderately decrease in the short term and to decrease as a percentage of revenue in the long term, although the percentage may fluctuate from period to period due to the timing and extent of our development and commercialization efforts.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2"/>
        <w:bidi w:val="0"/>
        <w:spacing w:before="360" w:after="283"/>
        <w:jc w:val="left"/>
        <w:rPr>
          <w:rFonts w:ascii="Times New Roman" w:hAnsi="Times New Roman"/>
          <w:sz w:val="20"/>
        </w:rPr>
      </w:pPr>
      <w:r>
        <w:rPr>
          <w:rFonts w:ascii="Times New Roman" w:hAnsi="Times New Roman"/>
          <w:i/>
          <w:color w:val="000000"/>
          <w:sz w:val="20"/>
        </w:rPr>
        <w:t>Sales and Marketing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include personnel-related expenses (including salaries, benefits and share-based compensation) for commercial sales, product and account management, marketing, reimbursement, medical education and business development personnel that support commercialization of our platform products. In addition, these expenses include external costs such as advertising expenses, customer education and promotional expenses, market analysis expenses, conference fees, travel expenses and allocated facility and information technology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sales and marketing expenses to moderately increase in the short term. In the long term, we expect sales and marketing expenses to increase in absolute dollars as we increase marketing activities to drive awareness and adoption of our products and services. However, we expect sales and marketing expenses to decrease as a percentage of revenue in the long term, subject to fluctuations from period to period due to the timing and magnitude of these expenses.</w:t>
      </w:r>
    </w:p>
    <w:p>
      <w:pPr>
        <w:pStyle w:val="Heading2"/>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personnel-related expenses (including salaries, benefits and share-based compensation) for our personnel in executive, legal, finance and accounting, human resources and other administrative functions, including third-party clinical billing services. In addition, these expenses include insurance costs, external legal costs, accounting and tax service expenses, consulting fees and allocated facility and information technology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general and administrative expenses to moderately increase in the short term and to decrease as a percentage of revenue in the long term.</w:t>
      </w:r>
    </w:p>
    <w:p>
      <w:pPr>
        <w:pStyle w:val="Heading2"/>
        <w:bidi w:val="0"/>
        <w:spacing w:before="360" w:after="120"/>
        <w:jc w:val="left"/>
        <w:rPr>
          <w:rFonts w:ascii="Times New Roman" w:hAnsi="Times New Roman"/>
          <w:i/>
          <w:color w:val="000000"/>
          <w:sz w:val="20"/>
        </w:rPr>
      </w:pPr>
      <w:r>
        <w:rPr>
          <w:rFonts w:ascii="Times New Roman" w:hAnsi="Times New Roman"/>
          <w:i/>
          <w:color w:val="000000"/>
          <w:sz w:val="20"/>
        </w:rPr>
        <w:t>Interest Expense</w:t>
      </w:r>
    </w:p>
    <w:p>
      <w:pPr>
        <w:pStyle w:val="TextBody"/>
        <w:bidi w:val="0"/>
        <w:jc w:val="left"/>
        <w:rPr>
          <w:rFonts w:ascii="Times New Roman" w:hAnsi="Times New Roman"/>
          <w:color w:val="000000"/>
          <w:sz w:val="20"/>
        </w:rPr>
      </w:pPr>
      <w:r>
        <w:rPr>
          <w:rFonts w:ascii="Times New Roman" w:hAnsi="Times New Roman"/>
          <w:color w:val="000000"/>
          <w:sz w:val="20"/>
        </w:rPr>
        <w:t>Interest expense includes costs associated with our now settled revenue interest liability and the noncash interest costs associated with the full amortization of deferred issuance costs related to the Purchase Agreement, as well as the amortization of deferred costs related to issuance of the Notes. We impute interest expense using the effective interest method.</w:t>
      </w:r>
    </w:p>
    <w:p>
      <w:pPr>
        <w:pStyle w:val="Heading2"/>
        <w:bidi w:val="0"/>
        <w:spacing w:before="360" w:after="120"/>
        <w:jc w:val="left"/>
        <w:rPr>
          <w:rFonts w:ascii="Times New Roman" w:hAnsi="Times New Roman"/>
          <w:i/>
          <w:color w:val="000000"/>
          <w:sz w:val="20"/>
        </w:rPr>
      </w:pPr>
      <w:r>
        <w:rPr>
          <w:rFonts w:ascii="Times New Roman" w:hAnsi="Times New Roman"/>
          <w:i/>
          <w:color w:val="000000"/>
          <w:sz w:val="20"/>
        </w:rPr>
        <w:t>Loss on Revenue Interest Liability Extinguishment</w:t>
      </w:r>
    </w:p>
    <w:p>
      <w:pPr>
        <w:pStyle w:val="TextBody"/>
        <w:bidi w:val="0"/>
        <w:jc w:val="left"/>
        <w:rPr>
          <w:rFonts w:ascii="Times New Roman" w:hAnsi="Times New Roman"/>
          <w:color w:val="000000"/>
          <w:sz w:val="20"/>
        </w:rPr>
      </w:pPr>
      <w:r>
        <w:rPr>
          <w:rFonts w:ascii="Times New Roman" w:hAnsi="Times New Roman"/>
          <w:color w:val="000000"/>
          <w:sz w:val="20"/>
        </w:rPr>
        <w:t>Loss on revenue interest liability extinguishment represents the loss recognized in connection with our early settlement of the revenue interest liability under the Purchase Agreement.</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Statements of Operations Data and Other Financial and Operating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statements of operations data and other financial and operating data for the periods presented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4"/>
        <w:gridCol w:w="746"/>
        <w:gridCol w:w="211"/>
        <w:gridCol w:w="1141"/>
        <w:gridCol w:w="166"/>
        <w:gridCol w:w="146"/>
        <w:gridCol w:w="211"/>
        <w:gridCol w:w="1141"/>
        <w:gridCol w:w="166"/>
        <w:gridCol w:w="146"/>
        <w:gridCol w:w="211"/>
        <w:gridCol w:w="1141"/>
        <w:gridCol w:w="166"/>
        <w:gridCol w:w="146"/>
        <w:gridCol w:w="211"/>
        <w:gridCol w:w="1141"/>
        <w:gridCol w:w="591"/>
      </w:tblGrid>
      <w:tr>
        <w:trPr/>
        <w:tc>
          <w:tcPr>
            <w:tcW w:w="252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Statements of Operations Data:</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165,962</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revenue interest liability extinguishment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Add: Net loss (income) attributable to noncontrolling interest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Adaptive Biotechnologies Corporation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Adaptive Biotechnologies Corporation common shareholders,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Adaptive Biotechnologies Corporation common shareholders, basic and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159,855,257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152,082,284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157,700,126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150,646,632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Financial and Operating Data:</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Adjusted EBITDA is a non-GAAP financial measure that we define as net loss attributable to Adaptive Biotechnologies Corporation adjusted for interest and other income, net, interest expense, income tax (expense) benefit, depreciation and amortization expense, impairment costs for long-lived assets, restructuring expense, share-based compensation expense and revenue interest liability extinguishment loss. See “Adjusted EBITDA” below for a reconciliation between Adjusted EBITDA and net loss attributable to Adaptive Biotechnologies Corporation, the most directly comparable GAAP financial measure, and a discussion about the limitations of Adjusted EBITDA.</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Comparison of the Three Months Ended June 30, 2026 and 2025</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Revenue</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1"/>
        <w:gridCol w:w="146"/>
        <w:gridCol w:w="229"/>
        <w:gridCol w:w="734"/>
        <w:gridCol w:w="158"/>
        <w:gridCol w:w="158"/>
        <w:gridCol w:w="229"/>
        <w:gridCol w:w="734"/>
        <w:gridCol w:w="146"/>
        <w:gridCol w:w="146"/>
        <w:gridCol w:w="211"/>
        <w:gridCol w:w="676"/>
        <w:gridCol w:w="166"/>
        <w:gridCol w:w="146"/>
        <w:gridCol w:w="146"/>
        <w:gridCol w:w="481"/>
        <w:gridCol w:w="271"/>
        <w:gridCol w:w="146"/>
        <w:gridCol w:w="146"/>
        <w:gridCol w:w="421"/>
        <w:gridCol w:w="271"/>
        <w:gridCol w:w="146"/>
        <w:gridCol w:w="146"/>
        <w:gridCol w:w="421"/>
        <w:gridCol w:w="720"/>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Regulatory milestone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MRD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Immune Medicine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licensing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Immune Medicine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71,553</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$16.2 million increase in MRD revenue was primarily due to a $17.0 million increase in revenue generated from providing clonoSEQ to clinical customers and a $4.5 million increase in revenue generated from providing MRD sample testing services to biopharmaceutical customers. These increases were partially offset by a $5.5 million decrease in revenue recognized upon the achievement of regulatory milestones by our biopharmaceutical customers. Our clonoSEQ test volume increased by 43% to 36,111 tests delivered in the three months ended June 30, 2026 from 25,321 tests delivered in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$3.6 million decrease in Immune Medicine revenue was primarily due to a $3.9 million decrease in revenue generated from the Genentech Agreement, resulting from the termination of the Genentech Agreement in August 2025, partially offset by a $0.4 million increase in revenue generated from our biopharmaceutical and academic customers.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Cost of Revenue</w:t>
      </w:r>
    </w:p>
    <w:p>
      <w:pPr>
        <w:pStyle w:val="Heading2"/>
        <w:bidi w:val="0"/>
        <w:jc w:val="left"/>
        <w:rPr/>
      </w:pPr>
      <w:r>
        <w:rPr/>
        <w:t> </w:t>
      </w:r>
    </w:p>
    <w:tbl>
      <w:tblPr>
        <w:tblW w:w="9007" w:type="dxa"/>
        <w:jc w:val="left"/>
        <w:tblInd w:w="0" w:type="dxa"/>
        <w:tblLayout w:type="fixed"/>
        <w:tblCellMar>
          <w:top w:w="28" w:type="dxa"/>
          <w:left w:w="28" w:type="dxa"/>
          <w:bottom w:w="28" w:type="dxa"/>
          <w:right w:w="28" w:type="dxa"/>
        </w:tblCellMar>
      </w:tblPr>
      <w:tblGrid>
        <w:gridCol w:w="2521"/>
        <w:gridCol w:w="146"/>
        <w:gridCol w:w="231"/>
        <w:gridCol w:w="741"/>
        <w:gridCol w:w="160"/>
        <w:gridCol w:w="160"/>
        <w:gridCol w:w="231"/>
        <w:gridCol w:w="741"/>
        <w:gridCol w:w="146"/>
        <w:gridCol w:w="146"/>
        <w:gridCol w:w="211"/>
        <w:gridCol w:w="571"/>
        <w:gridCol w:w="146"/>
        <w:gridCol w:w="146"/>
        <w:gridCol w:w="146"/>
        <w:gridCol w:w="316"/>
        <w:gridCol w:w="271"/>
        <w:gridCol w:w="146"/>
        <w:gridCol w:w="165"/>
        <w:gridCol w:w="357"/>
        <w:gridCol w:w="306"/>
        <w:gridCol w:w="165"/>
        <w:gridCol w:w="165"/>
        <w:gridCol w:w="357"/>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$2.2 million increase in cost of revenue was primarily attributable to a $1.1 million increase in labor and overhead costs and a $0.8 million increase in shipping and handling expenses.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Research and Development</w:t>
      </w:r>
    </w:p>
    <w:p>
      <w:pPr>
        <w:pStyle w:val="Heading2"/>
        <w:bidi w:val="0"/>
        <w:jc w:val="left"/>
        <w:rPr/>
      </w:pPr>
      <w:r>
        <w:rPr/>
        <w:t> </w:t>
      </w:r>
    </w:p>
    <w:tbl>
      <w:tblPr>
        <w:tblW w:w="8955" w:type="dxa"/>
        <w:jc w:val="left"/>
        <w:tblInd w:w="0" w:type="dxa"/>
        <w:tblLayout w:type="fixed"/>
        <w:tblCellMar>
          <w:top w:w="28" w:type="dxa"/>
          <w:left w:w="28" w:type="dxa"/>
          <w:bottom w:w="28" w:type="dxa"/>
          <w:right w:w="28" w:type="dxa"/>
        </w:tblCellMar>
      </w:tblPr>
      <w:tblGrid>
        <w:gridCol w:w="2521"/>
        <w:gridCol w:w="146"/>
        <w:gridCol w:w="231"/>
        <w:gridCol w:w="741"/>
        <w:gridCol w:w="160"/>
        <w:gridCol w:w="160"/>
        <w:gridCol w:w="231"/>
        <w:gridCol w:w="741"/>
        <w:gridCol w:w="146"/>
        <w:gridCol w:w="146"/>
        <w:gridCol w:w="211"/>
        <w:gridCol w:w="631"/>
        <w:gridCol w:w="166"/>
        <w:gridCol w:w="146"/>
        <w:gridCol w:w="601"/>
        <w:gridCol w:w="146"/>
        <w:gridCol w:w="165"/>
        <w:gridCol w:w="357"/>
        <w:gridCol w:w="306"/>
        <w:gridCol w:w="165"/>
        <w:gridCol w:w="165"/>
        <w:gridCol w:w="357"/>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disaggregated research and development expenses by cost classification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90"/>
        <w:gridCol w:w="446"/>
        <w:gridCol w:w="226"/>
        <w:gridCol w:w="727"/>
        <w:gridCol w:w="157"/>
        <w:gridCol w:w="157"/>
        <w:gridCol w:w="226"/>
        <w:gridCol w:w="727"/>
        <w:gridCol w:w="146"/>
        <w:gridCol w:w="146"/>
        <w:gridCol w:w="211"/>
        <w:gridCol w:w="631"/>
        <w:gridCol w:w="415"/>
      </w:tblGrid>
      <w:tr>
        <w:trPr/>
        <w:tc>
          <w:tcPr>
            <w:tcW w:w="599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 materials and allocated production laboratory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Allocable facilities and information technology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Software and cloud services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other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$5.0 million decrease in research and development expenses was primarily attributable to a $2.2 million decrease in personnel costs, a $1.9 million decrease in depreciation and other expenses, a $1.3 million decrease in laboratory materials and allocated production laboratory expenses, which was driven primarily by decreased investments in drug discovery and clonoSEQ efforts, and a $0.5 million decrease in allocable facility expenses. These decreases were partially offset by a $0.8 million increase in software and cloud services expenses.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Sales and Marketing</w:t>
      </w:r>
    </w:p>
    <w:p>
      <w:pPr>
        <w:pStyle w:val="Heading2"/>
        <w:bidi w:val="0"/>
        <w:jc w:val="left"/>
        <w:rPr/>
      </w:pPr>
      <w:r>
        <w:rPr/>
        <w:t> </w:t>
      </w:r>
    </w:p>
    <w:tbl>
      <w:tblPr>
        <w:tblW w:w="9007" w:type="dxa"/>
        <w:jc w:val="left"/>
        <w:tblInd w:w="0" w:type="dxa"/>
        <w:tblLayout w:type="fixed"/>
        <w:tblCellMar>
          <w:top w:w="28" w:type="dxa"/>
          <w:left w:w="28" w:type="dxa"/>
          <w:bottom w:w="28" w:type="dxa"/>
          <w:right w:w="28" w:type="dxa"/>
        </w:tblCellMar>
      </w:tblPr>
      <w:tblGrid>
        <w:gridCol w:w="2521"/>
        <w:gridCol w:w="146"/>
        <w:gridCol w:w="231"/>
        <w:gridCol w:w="741"/>
        <w:gridCol w:w="160"/>
        <w:gridCol w:w="160"/>
        <w:gridCol w:w="231"/>
        <w:gridCol w:w="741"/>
        <w:gridCol w:w="146"/>
        <w:gridCol w:w="146"/>
        <w:gridCol w:w="211"/>
        <w:gridCol w:w="571"/>
        <w:gridCol w:w="146"/>
        <w:gridCol w:w="146"/>
        <w:gridCol w:w="146"/>
        <w:gridCol w:w="316"/>
        <w:gridCol w:w="271"/>
        <w:gridCol w:w="146"/>
        <w:gridCol w:w="165"/>
        <w:gridCol w:w="357"/>
        <w:gridCol w:w="306"/>
        <w:gridCol w:w="165"/>
        <w:gridCol w:w="165"/>
        <w:gridCol w:w="357"/>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$2.8 million increase in sales and marketing expenses was primarily attributable to a $1.3 million increase in personnel costs, a $0.7 million increase in computer and software expenses, a $0.4 million increase in consulting costs and a $0.3 million increase in travel and customer event related expenses.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Heading2"/>
        <w:bidi w:val="0"/>
        <w:jc w:val="left"/>
        <w:rPr/>
      </w:pPr>
      <w:r>
        <w:rPr/>
        <w:t> </w:t>
      </w:r>
    </w:p>
    <w:tbl>
      <w:tblPr>
        <w:tblW w:w="9007" w:type="dxa"/>
        <w:jc w:val="left"/>
        <w:tblInd w:w="0" w:type="dxa"/>
        <w:tblLayout w:type="fixed"/>
        <w:tblCellMar>
          <w:top w:w="28" w:type="dxa"/>
          <w:left w:w="28" w:type="dxa"/>
          <w:bottom w:w="28" w:type="dxa"/>
          <w:right w:w="28" w:type="dxa"/>
        </w:tblCellMar>
      </w:tblPr>
      <w:tblGrid>
        <w:gridCol w:w="2521"/>
        <w:gridCol w:w="146"/>
        <w:gridCol w:w="231"/>
        <w:gridCol w:w="741"/>
        <w:gridCol w:w="160"/>
        <w:gridCol w:w="160"/>
        <w:gridCol w:w="231"/>
        <w:gridCol w:w="741"/>
        <w:gridCol w:w="146"/>
        <w:gridCol w:w="146"/>
        <w:gridCol w:w="211"/>
        <w:gridCol w:w="571"/>
        <w:gridCol w:w="146"/>
        <w:gridCol w:w="146"/>
        <w:gridCol w:w="146"/>
        <w:gridCol w:w="316"/>
        <w:gridCol w:w="271"/>
        <w:gridCol w:w="146"/>
        <w:gridCol w:w="165"/>
        <w:gridCol w:w="357"/>
        <w:gridCol w:w="306"/>
        <w:gridCol w:w="165"/>
        <w:gridCol w:w="165"/>
        <w:gridCol w:w="357"/>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$3.4 million increase in general and administrative expenses was primarily attributable to a $1.3 million increase in legal expenses, $0.8 million increase in third-party billing service fees, a $0.5 million increase in computer and software expenses and a $0.4 million increase in personnel costs.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Interest and Other Income, Net</w:t>
      </w:r>
    </w:p>
    <w:p>
      <w:pPr>
        <w:pStyle w:val="Heading2"/>
        <w:bidi w:val="0"/>
        <w:jc w:val="left"/>
        <w:rPr/>
      </w:pPr>
      <w:r>
        <w:rPr/>
        <w:t> </w:t>
      </w:r>
    </w:p>
    <w:tbl>
      <w:tblPr>
        <w:tblW w:w="6768" w:type="dxa"/>
        <w:jc w:val="left"/>
        <w:tblInd w:w="0" w:type="dxa"/>
        <w:tblLayout w:type="fixed"/>
        <w:tblCellMar>
          <w:top w:w="28" w:type="dxa"/>
          <w:left w:w="28" w:type="dxa"/>
          <w:bottom w:w="28" w:type="dxa"/>
          <w:right w:w="28" w:type="dxa"/>
        </w:tblCellMar>
      </w:tblPr>
      <w:tblGrid>
        <w:gridCol w:w="2521"/>
        <w:gridCol w:w="146"/>
        <w:gridCol w:w="257"/>
        <w:gridCol w:w="697"/>
        <w:gridCol w:w="178"/>
        <w:gridCol w:w="178"/>
        <w:gridCol w:w="257"/>
        <w:gridCol w:w="697"/>
        <w:gridCol w:w="146"/>
        <w:gridCol w:w="146"/>
        <w:gridCol w:w="211"/>
        <w:gridCol w:w="481"/>
        <w:gridCol w:w="166"/>
        <w:gridCol w:w="146"/>
        <w:gridCol w:w="54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$0.1 million decrease in interest and other income, net was primarily attributable to a nominal decrease in net interest income and investment amortization.</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Heading2"/>
        <w:bidi w:val="0"/>
        <w:jc w:val="left"/>
        <w:rPr/>
      </w:pPr>
      <w:r>
        <w:rPr/>
        <w:t> </w:t>
      </w:r>
    </w:p>
    <w:tbl>
      <w:tblPr>
        <w:tblW w:w="6707" w:type="dxa"/>
        <w:jc w:val="left"/>
        <w:tblInd w:w="0" w:type="dxa"/>
        <w:tblLayout w:type="fixed"/>
        <w:tblCellMar>
          <w:top w:w="28" w:type="dxa"/>
          <w:left w:w="28" w:type="dxa"/>
          <w:bottom w:w="28" w:type="dxa"/>
          <w:right w:w="28" w:type="dxa"/>
        </w:tblCellMar>
      </w:tblPr>
      <w:tblGrid>
        <w:gridCol w:w="2521"/>
        <w:gridCol w:w="146"/>
        <w:gridCol w:w="239"/>
        <w:gridCol w:w="716"/>
        <w:gridCol w:w="188"/>
        <w:gridCol w:w="165"/>
        <w:gridCol w:w="239"/>
        <w:gridCol w:w="716"/>
        <w:gridCol w:w="166"/>
        <w:gridCol w:w="146"/>
        <w:gridCol w:w="211"/>
        <w:gridCol w:w="421"/>
        <w:gridCol w:w="146"/>
        <w:gridCol w:w="146"/>
        <w:gridCol w:w="54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$0.3 million decrease in interest expense was primarily attributable to the early settlement of our revenue interest liability under the Purchase Agreement.</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Loss on Revenue Interest Liability Extinguishment</w:t>
      </w:r>
    </w:p>
    <w:p>
      <w:pPr>
        <w:pStyle w:val="Heading2"/>
        <w:bidi w:val="0"/>
        <w:jc w:val="left"/>
        <w:rPr/>
      </w:pPr>
      <w:r>
        <w:rPr/>
        <w:t> </w:t>
      </w:r>
    </w:p>
    <w:tbl>
      <w:tblPr>
        <w:tblW w:w="8388" w:type="dxa"/>
        <w:jc w:val="left"/>
        <w:tblInd w:w="0" w:type="dxa"/>
        <w:tblLayout w:type="fixed"/>
        <w:tblCellMar>
          <w:top w:w="28" w:type="dxa"/>
          <w:left w:w="28" w:type="dxa"/>
          <w:bottom w:w="28" w:type="dxa"/>
          <w:right w:w="28" w:type="dxa"/>
        </w:tblCellMar>
      </w:tblPr>
      <w:tblGrid>
        <w:gridCol w:w="4111"/>
        <w:gridCol w:w="146"/>
        <w:gridCol w:w="263"/>
        <w:gridCol w:w="918"/>
        <w:gridCol w:w="207"/>
        <w:gridCol w:w="182"/>
        <w:gridCol w:w="263"/>
        <w:gridCol w:w="431"/>
        <w:gridCol w:w="146"/>
        <w:gridCol w:w="146"/>
        <w:gridCol w:w="211"/>
        <w:gridCol w:w="736"/>
        <w:gridCol w:w="166"/>
        <w:gridCol w:w="14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revenue interest liability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Not applicable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sz w:val="20"/>
        </w:rPr>
      </w:pPr>
      <w:r>
        <w:rPr>
          <w:rFonts w:ascii="Times New Roman" w:hAnsi="Times New Roman"/>
          <w:b w:val="false"/>
          <w:color w:val="000000"/>
          <w:sz w:val="20"/>
        </w:rPr>
        <w:t>The $23.7 million increase in loss on revenue interest liability extinguishment represents the loss incurred in June 2026 in connection with our early settlement of the revenue interest liability under the Purchase Agreement.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2"/>
        <w:bidi w:val="0"/>
        <w:jc w:val="left"/>
        <w:rPr>
          <w:rFonts w:ascii="Times New Roman" w:hAnsi="Times New Roman"/>
          <w:i/>
          <w:color w:val="000000"/>
          <w:sz w:val="20"/>
        </w:rPr>
      </w:pPr>
      <w:r>
        <w:rPr>
          <w:rFonts w:ascii="Times New Roman" w:hAnsi="Times New Roman"/>
          <w:i/>
          <w:color w:val="000000"/>
          <w:sz w:val="20"/>
        </w:rPr>
        <w:t>Segment Adjusted EBITDA</w:t>
      </w:r>
    </w:p>
    <w:p>
      <w:pPr>
        <w:pStyle w:val="TextBody"/>
        <w:bidi w:val="0"/>
        <w:jc w:val="left"/>
        <w:rPr/>
      </w:pPr>
      <w:r>
        <w:rPr/>
        <w:t> </w:t>
      </w:r>
    </w:p>
    <w:tbl>
      <w:tblPr>
        <w:tblW w:w="7999" w:type="dxa"/>
        <w:jc w:val="left"/>
        <w:tblInd w:w="0" w:type="dxa"/>
        <w:tblLayout w:type="fixed"/>
        <w:tblCellMar>
          <w:top w:w="28" w:type="dxa"/>
          <w:left w:w="28" w:type="dxa"/>
          <w:bottom w:w="28" w:type="dxa"/>
          <w:right w:w="28" w:type="dxa"/>
        </w:tblCellMar>
      </w:tblPr>
      <w:tblGrid>
        <w:gridCol w:w="3301"/>
        <w:gridCol w:w="146"/>
        <w:gridCol w:w="239"/>
        <w:gridCol w:w="716"/>
        <w:gridCol w:w="188"/>
        <w:gridCol w:w="165"/>
        <w:gridCol w:w="239"/>
        <w:gridCol w:w="716"/>
        <w:gridCol w:w="166"/>
        <w:gridCol w:w="146"/>
        <w:gridCol w:w="211"/>
        <w:gridCol w:w="571"/>
        <w:gridCol w:w="166"/>
        <w:gridCol w:w="146"/>
        <w:gridCol w:w="146"/>
        <w:gridCol w:w="421"/>
        <w:gridCol w:w="31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2025</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MRD Adjusted EBITDA</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Immune Medicine Adjusted EBITDA</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Costs related to Digital Biotechnologies, Inc. are no longer included as Immune Medicine costs and have been reclassified to our unallocated corporate category.</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Adjusted EBITDA is a non-GAAP financial measure. See “Adjusted EBITDA” below for an explanation of how it is calculated and used by management. Adjusted EBITDA related to our unallocated corporate category is included in the calculation of consolidated Adjusted EBITDA but not shown above in the breakout of segment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$7.2 million improvement in MRD Adjusted EBITDA was primarily attributable to a $16.2 million increase in MRD revenue, partially offset by a $9.0 million increase in operating expenses, excluding segment non-cash and restructuring expenses. The increase in these operating expenses was primarily due to a $3.4 million increase in general and administrative expenses driven largely by increased legal expenses, third-party billing service fees and computer and software expenses, a $2.8 million increase in sales and marketing expenses driven primarily by increased market access and personnel expenses and a $2.5 million increase in cost of revenue expenses driven largely by increased testing volumes.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$0.5 million increase in Immune Medicine Adjusted EBITDA deficit was primarily attributable to a $3.6 million decrease in Immune Medicine revenue, resulting largely from the termination of the Genentech Agreement in August 2025, partially offset by a $3.1 million decrease in operating expenses, excluding segment non-cash and restructuring expenses. The decrease in these operating expenses was primarily due to a decrease in research and development expenses driven largely by reduced personnel and laboratory materials costs.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Comparison of the Six Months Ended June 30, 2026 and 2025</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Revenue</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1"/>
        <w:gridCol w:w="146"/>
        <w:gridCol w:w="211"/>
        <w:gridCol w:w="781"/>
        <w:gridCol w:w="146"/>
        <w:gridCol w:w="146"/>
        <w:gridCol w:w="211"/>
        <w:gridCol w:w="781"/>
        <w:gridCol w:w="146"/>
        <w:gridCol w:w="146"/>
        <w:gridCol w:w="211"/>
        <w:gridCol w:w="676"/>
        <w:gridCol w:w="166"/>
        <w:gridCol w:w="146"/>
        <w:gridCol w:w="146"/>
        <w:gridCol w:w="481"/>
        <w:gridCol w:w="271"/>
        <w:gridCol w:w="146"/>
        <w:gridCol w:w="146"/>
        <w:gridCol w:w="421"/>
        <w:gridCol w:w="271"/>
        <w:gridCol w:w="146"/>
        <w:gridCol w:w="146"/>
        <w:gridCol w:w="421"/>
        <w:gridCol w:w="716"/>
      </w:tblGrid>
      <w:tr>
        <w:trPr/>
        <w:tc>
          <w:tcPr>
            <w:tcW w:w="2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Regulatory milestone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MRD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Immune Medicine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licensing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Immune Medicine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$39.6 million increase in MRD revenue was primarily due to a $32.9 million increase in revenue generated from providing clonoSEQ to clinical customers and an $8.0 million increase in revenue generated from providing MRD sample testing services to biopharmaceutical customers. These increases were partially offset by a $1.0 million decrease in revenue recognized upon the achievement of regulatory milestones by our biopharmaceutical customers and a $0.6 million decrease in revenue generated from providing MRD sample testing services to investigator-led clinical trials. Our clonoSEQ test volume increased by 42% to 68,706 delivered in the six months ended June 30, 2026 from 48,438 tests delivered in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$8.5 million decrease in Immune Medicine revenue was primarily due to a $7.5 million decrease in revenue generated from the Genentech Agreement, resulting from the termination of the Genentech Agreement in August 2025, and a $1.0 million decrease in revenue generated from our biopharmaceutical and academic customers.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Cost of Revenue</w:t>
      </w:r>
    </w:p>
    <w:p>
      <w:pPr>
        <w:pStyle w:val="Heading2"/>
        <w:bidi w:val="0"/>
        <w:jc w:val="left"/>
        <w:rPr/>
      </w:pPr>
      <w:r>
        <w:rPr/>
        <w:t> </w:t>
      </w:r>
    </w:p>
    <w:tbl>
      <w:tblPr>
        <w:tblW w:w="8811" w:type="dxa"/>
        <w:jc w:val="left"/>
        <w:tblInd w:w="0" w:type="dxa"/>
        <w:tblLayout w:type="fixed"/>
        <w:tblCellMar>
          <w:top w:w="28" w:type="dxa"/>
          <w:left w:w="28" w:type="dxa"/>
          <w:bottom w:w="28" w:type="dxa"/>
          <w:right w:w="28" w:type="dxa"/>
        </w:tblCellMar>
      </w:tblPr>
      <w:tblGrid>
        <w:gridCol w:w="2521"/>
        <w:gridCol w:w="146"/>
        <w:gridCol w:w="211"/>
        <w:gridCol w:w="677"/>
        <w:gridCol w:w="146"/>
        <w:gridCol w:w="146"/>
        <w:gridCol w:w="211"/>
        <w:gridCol w:w="677"/>
        <w:gridCol w:w="146"/>
        <w:gridCol w:w="146"/>
        <w:gridCol w:w="211"/>
        <w:gridCol w:w="571"/>
        <w:gridCol w:w="146"/>
        <w:gridCol w:w="146"/>
        <w:gridCol w:w="146"/>
        <w:gridCol w:w="316"/>
        <w:gridCol w:w="271"/>
        <w:gridCol w:w="146"/>
        <w:gridCol w:w="165"/>
        <w:gridCol w:w="357"/>
        <w:gridCol w:w="306"/>
        <w:gridCol w:w="165"/>
        <w:gridCol w:w="165"/>
        <w:gridCol w:w="357"/>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$3.9 million increase in cost of revenue was primarily attributable to a $1.8 million increase in labor and overhead costs, a $1.7 million increase in shipping and handling expenses and a $0.2 million increase in cost of materials.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Research and Development</w:t>
      </w:r>
    </w:p>
    <w:p>
      <w:pPr>
        <w:pStyle w:val="Heading2"/>
        <w:bidi w:val="0"/>
        <w:jc w:val="left"/>
        <w:rPr/>
      </w:pPr>
      <w:r>
        <w:rPr/>
        <w:t> </w:t>
      </w:r>
    </w:p>
    <w:tbl>
      <w:tblPr>
        <w:tblW w:w="8759" w:type="dxa"/>
        <w:jc w:val="left"/>
        <w:tblInd w:w="0" w:type="dxa"/>
        <w:tblLayout w:type="fixed"/>
        <w:tblCellMar>
          <w:top w:w="28" w:type="dxa"/>
          <w:left w:w="28" w:type="dxa"/>
          <w:bottom w:w="28" w:type="dxa"/>
          <w:right w:w="28" w:type="dxa"/>
        </w:tblCellMar>
      </w:tblPr>
      <w:tblGrid>
        <w:gridCol w:w="2521"/>
        <w:gridCol w:w="146"/>
        <w:gridCol w:w="211"/>
        <w:gridCol w:w="677"/>
        <w:gridCol w:w="146"/>
        <w:gridCol w:w="146"/>
        <w:gridCol w:w="211"/>
        <w:gridCol w:w="677"/>
        <w:gridCol w:w="146"/>
        <w:gridCol w:w="146"/>
        <w:gridCol w:w="211"/>
        <w:gridCol w:w="631"/>
        <w:gridCol w:w="166"/>
        <w:gridCol w:w="146"/>
        <w:gridCol w:w="601"/>
        <w:gridCol w:w="146"/>
        <w:gridCol w:w="165"/>
        <w:gridCol w:w="357"/>
        <w:gridCol w:w="306"/>
        <w:gridCol w:w="165"/>
        <w:gridCol w:w="165"/>
        <w:gridCol w:w="357"/>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disaggregated research and development expenses by cost classification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46"/>
        <w:gridCol w:w="146"/>
        <w:gridCol w:w="211"/>
        <w:gridCol w:w="676"/>
        <w:gridCol w:w="146"/>
        <w:gridCol w:w="146"/>
        <w:gridCol w:w="211"/>
        <w:gridCol w:w="676"/>
        <w:gridCol w:w="146"/>
        <w:gridCol w:w="146"/>
        <w:gridCol w:w="211"/>
        <w:gridCol w:w="631"/>
        <w:gridCol w:w="413"/>
      </w:tblGrid>
      <w:tr>
        <w:trPr/>
        <w:tc>
          <w:tcPr>
            <w:tcW w:w="6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materials and allocated production laboratory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Allocable facilities and information technology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cloud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$5.6 million decrease in research and development expenses was primarily attributable to a $2.8 million decrease in depreciation and other expenses, a $1.9 million decrease in laboratory materials and allocated production laboratory expenses, which was driven primarily by decreased investments in clonoSEQ and drug discovery efforts, a $1.7 million decrease in personnel costs and a $0.5 million decrease in allocable facility expenses. These decreases were partially offset by a $1.4 million increase in software and cloud services expenses.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Sales and Marketing</w:t>
      </w:r>
    </w:p>
    <w:p>
      <w:pPr>
        <w:pStyle w:val="Heading2"/>
        <w:bidi w:val="0"/>
        <w:jc w:val="left"/>
        <w:rPr/>
      </w:pPr>
      <w:r>
        <w:rPr/>
        <w:t> </w:t>
      </w:r>
    </w:p>
    <w:tbl>
      <w:tblPr>
        <w:tblW w:w="8811" w:type="dxa"/>
        <w:jc w:val="left"/>
        <w:tblInd w:w="0" w:type="dxa"/>
        <w:tblLayout w:type="fixed"/>
        <w:tblCellMar>
          <w:top w:w="28" w:type="dxa"/>
          <w:left w:w="28" w:type="dxa"/>
          <w:bottom w:w="28" w:type="dxa"/>
          <w:right w:w="28" w:type="dxa"/>
        </w:tblCellMar>
      </w:tblPr>
      <w:tblGrid>
        <w:gridCol w:w="2521"/>
        <w:gridCol w:w="146"/>
        <w:gridCol w:w="211"/>
        <w:gridCol w:w="677"/>
        <w:gridCol w:w="146"/>
        <w:gridCol w:w="146"/>
        <w:gridCol w:w="211"/>
        <w:gridCol w:w="677"/>
        <w:gridCol w:w="146"/>
        <w:gridCol w:w="146"/>
        <w:gridCol w:w="211"/>
        <w:gridCol w:w="571"/>
        <w:gridCol w:w="146"/>
        <w:gridCol w:w="146"/>
        <w:gridCol w:w="146"/>
        <w:gridCol w:w="316"/>
        <w:gridCol w:w="271"/>
        <w:gridCol w:w="146"/>
        <w:gridCol w:w="165"/>
        <w:gridCol w:w="357"/>
        <w:gridCol w:w="306"/>
        <w:gridCol w:w="165"/>
        <w:gridCol w:w="165"/>
        <w:gridCol w:w="357"/>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$6.1 million increase in sales and marketing expenses was primarily attributable to a $3.1 million increase in personnel costs, a $1.1 million increase in travel and customer event related expenses, a $1.1 million increase in computer and software expenses and a $0.5 million increase in consulting costs.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Heading2"/>
        <w:bidi w:val="0"/>
        <w:jc w:val="left"/>
        <w:rPr/>
      </w:pPr>
      <w:r>
        <w:rPr/>
        <w:t> </w:t>
      </w:r>
    </w:p>
    <w:tbl>
      <w:tblPr>
        <w:tblW w:w="8811" w:type="dxa"/>
        <w:jc w:val="left"/>
        <w:tblInd w:w="0" w:type="dxa"/>
        <w:tblLayout w:type="fixed"/>
        <w:tblCellMar>
          <w:top w:w="28" w:type="dxa"/>
          <w:left w:w="28" w:type="dxa"/>
          <w:bottom w:w="28" w:type="dxa"/>
          <w:right w:w="28" w:type="dxa"/>
        </w:tblCellMar>
      </w:tblPr>
      <w:tblGrid>
        <w:gridCol w:w="2521"/>
        <w:gridCol w:w="146"/>
        <w:gridCol w:w="211"/>
        <w:gridCol w:w="677"/>
        <w:gridCol w:w="146"/>
        <w:gridCol w:w="146"/>
        <w:gridCol w:w="211"/>
        <w:gridCol w:w="677"/>
        <w:gridCol w:w="146"/>
        <w:gridCol w:w="146"/>
        <w:gridCol w:w="211"/>
        <w:gridCol w:w="571"/>
        <w:gridCol w:w="146"/>
        <w:gridCol w:w="146"/>
        <w:gridCol w:w="146"/>
        <w:gridCol w:w="316"/>
        <w:gridCol w:w="271"/>
        <w:gridCol w:w="146"/>
        <w:gridCol w:w="165"/>
        <w:gridCol w:w="357"/>
        <w:gridCol w:w="306"/>
        <w:gridCol w:w="165"/>
        <w:gridCol w:w="165"/>
        <w:gridCol w:w="357"/>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$7.0 million increase in general and administrative expenses was primarily attributable to a $2.1 million increase in personnel costs, a $1.7 million increase in third-party billing service fees, a $1.6 million increase in legal expenses and a $1.5 million increase in computer and software expenses.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Interest and Other Income, Net</w:t>
      </w:r>
    </w:p>
    <w:p>
      <w:pPr>
        <w:pStyle w:val="Heading2"/>
        <w:bidi w:val="0"/>
        <w:jc w:val="left"/>
        <w:rPr/>
      </w:pPr>
      <w:r>
        <w:rPr/>
        <w:t> </w:t>
      </w:r>
    </w:p>
    <w:tbl>
      <w:tblPr>
        <w:tblW w:w="6677" w:type="dxa"/>
        <w:jc w:val="left"/>
        <w:tblInd w:w="0" w:type="dxa"/>
        <w:tblLayout w:type="fixed"/>
        <w:tblCellMar>
          <w:top w:w="28" w:type="dxa"/>
          <w:left w:w="28" w:type="dxa"/>
          <w:bottom w:w="28" w:type="dxa"/>
          <w:right w:w="28" w:type="dxa"/>
        </w:tblCellMar>
      </w:tblPr>
      <w:tblGrid>
        <w:gridCol w:w="2521"/>
        <w:gridCol w:w="146"/>
        <w:gridCol w:w="235"/>
        <w:gridCol w:w="637"/>
        <w:gridCol w:w="162"/>
        <w:gridCol w:w="162"/>
        <w:gridCol w:w="235"/>
        <w:gridCol w:w="637"/>
        <w:gridCol w:w="146"/>
        <w:gridCol w:w="146"/>
        <w:gridCol w:w="211"/>
        <w:gridCol w:w="481"/>
        <w:gridCol w:w="166"/>
        <w:gridCol w:w="146"/>
        <w:gridCol w:w="6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$0.7 million decrease in interest and other income, net was primarily attributable to a decrease in net interest income and investment amortization driven by decreased holdings of and interest rates pertaining to our cash, cash equivalents and marketable securities.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Heading2"/>
        <w:bidi w:val="0"/>
        <w:jc w:val="left"/>
        <w:rPr/>
      </w:pPr>
      <w:r>
        <w:rPr/>
        <w:t> </w:t>
      </w:r>
    </w:p>
    <w:tbl>
      <w:tblPr>
        <w:tblW w:w="6511" w:type="dxa"/>
        <w:jc w:val="left"/>
        <w:tblInd w:w="0" w:type="dxa"/>
        <w:tblLayout w:type="fixed"/>
        <w:tblCellMar>
          <w:top w:w="28" w:type="dxa"/>
          <w:left w:w="28" w:type="dxa"/>
          <w:bottom w:w="28" w:type="dxa"/>
          <w:right w:w="28" w:type="dxa"/>
        </w:tblCellMar>
      </w:tblPr>
      <w:tblGrid>
        <w:gridCol w:w="2521"/>
        <w:gridCol w:w="146"/>
        <w:gridCol w:w="218"/>
        <w:gridCol w:w="654"/>
        <w:gridCol w:w="172"/>
        <w:gridCol w:w="151"/>
        <w:gridCol w:w="218"/>
        <w:gridCol w:w="654"/>
        <w:gridCol w:w="166"/>
        <w:gridCol w:w="146"/>
        <w:gridCol w:w="211"/>
        <w:gridCol w:w="421"/>
        <w:gridCol w:w="146"/>
        <w:gridCol w:w="146"/>
        <w:gridCol w:w="54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$0.3 million decrease in interest expense was primarily attributable to the early settlement of our revenue interest liability under the Purchase Agreement.</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Loss on Revenue Interest Liability Extinguishment</w:t>
      </w:r>
    </w:p>
    <w:p>
      <w:pPr>
        <w:pStyle w:val="Heading2"/>
        <w:bidi w:val="0"/>
        <w:jc w:val="left"/>
        <w:rPr/>
      </w:pPr>
      <w:r>
        <w:rPr/>
        <w:t> </w:t>
      </w:r>
    </w:p>
    <w:tbl>
      <w:tblPr>
        <w:tblW w:w="8192" w:type="dxa"/>
        <w:jc w:val="left"/>
        <w:tblInd w:w="0" w:type="dxa"/>
        <w:tblLayout w:type="fixed"/>
        <w:tblCellMar>
          <w:top w:w="28" w:type="dxa"/>
          <w:left w:w="28" w:type="dxa"/>
          <w:bottom w:w="28" w:type="dxa"/>
          <w:right w:w="28" w:type="dxa"/>
        </w:tblCellMar>
      </w:tblPr>
      <w:tblGrid>
        <w:gridCol w:w="4111"/>
        <w:gridCol w:w="146"/>
        <w:gridCol w:w="240"/>
        <w:gridCol w:w="839"/>
        <w:gridCol w:w="189"/>
        <w:gridCol w:w="166"/>
        <w:gridCol w:w="240"/>
        <w:gridCol w:w="394"/>
        <w:gridCol w:w="146"/>
        <w:gridCol w:w="146"/>
        <w:gridCol w:w="211"/>
        <w:gridCol w:w="736"/>
        <w:gridCol w:w="166"/>
        <w:gridCol w:w="14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revenue interest liability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Not applicable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The $23.7 million increase in loss on revenue interest liability extinguishment represents the loss incurred in June 2026 in connection with our early settlement of the revenue interest liability under the Purchase Agreement.</w:t>
      </w:r>
    </w:p>
    <w:p>
      <w:pPr>
        <w:pStyle w:val="TextBody"/>
        <w:bidi w:val="0"/>
        <w:jc w:val="left"/>
        <w:rPr/>
      </w:pPr>
      <w:r>
        <w:rPr/>
        <w:t> </w:t>
      </w:r>
    </w:p>
    <w:p>
      <w:pPr>
        <w:pStyle w:val="Heading2"/>
        <w:bidi w:val="0"/>
        <w:jc w:val="left"/>
        <w:rPr>
          <w:rFonts w:ascii="Times New Roman" w:hAnsi="Times New Roman"/>
          <w:i/>
          <w:color w:val="000000"/>
          <w:sz w:val="20"/>
        </w:rPr>
      </w:pPr>
      <w:r>
        <w:rPr>
          <w:rFonts w:ascii="Times New Roman" w:hAnsi="Times New Roman"/>
          <w:i/>
          <w:color w:val="000000"/>
          <w:sz w:val="20"/>
        </w:rPr>
        <w:t>Segment Adjusted EBITDA</w:t>
      </w:r>
    </w:p>
    <w:p>
      <w:pPr>
        <w:pStyle w:val="TextBody"/>
        <w:bidi w:val="0"/>
        <w:jc w:val="left"/>
        <w:rPr/>
      </w:pPr>
      <w:r>
        <w:rPr/>
        <w:t> </w:t>
      </w:r>
    </w:p>
    <w:tbl>
      <w:tblPr>
        <w:tblW w:w="9858" w:type="dxa"/>
        <w:jc w:val="left"/>
        <w:tblInd w:w="0" w:type="dxa"/>
        <w:tblLayout w:type="fixed"/>
        <w:tblCellMar>
          <w:top w:w="28" w:type="dxa"/>
          <w:left w:w="28" w:type="dxa"/>
          <w:bottom w:w="28" w:type="dxa"/>
          <w:right w:w="28" w:type="dxa"/>
        </w:tblCellMar>
      </w:tblPr>
      <w:tblGrid>
        <w:gridCol w:w="4188"/>
        <w:gridCol w:w="185"/>
        <w:gridCol w:w="267"/>
        <w:gridCol w:w="933"/>
        <w:gridCol w:w="210"/>
        <w:gridCol w:w="185"/>
        <w:gridCol w:w="267"/>
        <w:gridCol w:w="933"/>
        <w:gridCol w:w="210"/>
        <w:gridCol w:w="185"/>
        <w:gridCol w:w="267"/>
        <w:gridCol w:w="857"/>
        <w:gridCol w:w="210"/>
        <w:gridCol w:w="185"/>
        <w:gridCol w:w="185"/>
        <w:gridCol w:w="400"/>
        <w:gridCol w:w="191"/>
      </w:tblGrid>
      <w:tr>
        <w:trPr/>
        <w:tc>
          <w:tcPr>
            <w:tcW w:w="418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2025</w:t>
            </w:r>
            <w:r>
              <w:rPr>
                <w:rFonts w:ascii="Times New Roman" w:hAnsi="Times New Roman"/>
                <w:b/>
                <w:color w:val="000000"/>
                <w:sz w:val="11"/>
              </w:rPr>
              <w:t>(1)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MRD Adjusted EBITDA</w:t>
            </w:r>
            <w:r>
              <w:rPr>
                <w:rFonts w:ascii="Times New Roman" w:hAnsi="Times New Roman"/>
                <w:color w:val="000000"/>
                <w:sz w:val="13"/>
              </w:rPr>
              <w:t>(2)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Immune Medicine Adjusted EBITDA</w:t>
            </w:r>
            <w:r>
              <w:rPr>
                <w:rFonts w:ascii="Times New Roman" w:hAnsi="Times New Roman"/>
                <w:color w:val="000000"/>
                <w:sz w:val="13"/>
              </w:rPr>
              <w:t>(2)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67"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Not meaningful, as the comparison reflects a change from negative Adjusted EBITDA to positive Adjusted EBITDA.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Costs related to Digital Biotechnologies, Inc. are no longer included as Immune Medicine costs and have been reclassified to our unallocated corporate category.</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Adjusted EBITDA is a non-GAAP financial measure. See “Adjusted EBITDA” below for an explanation of how it is calculated and used by management. Adjusted EBITDA related to our unallocated corporate category is included in the calculation of consolidated Adjusted EBITDA but not shown above in the breakout of segment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$23.5 million improvement in MRD Adjusted EBITDA was primarily attributable to a $39.6 million increase in MRD revenue, partially offset by a $16.1 million increase in operating expenses, excluding segment non-cash and restructuring expenses. The increase in these operating expenses was primarily due to a $5.9 million increase in sales and marketing expenses driven primarily by increased market access and personnel expenses, a $5.8 million increase in general and administrative expenses driven largely by increased legal expenses, third-party billing service fees and computer and software expenses and a $3.9 million increase in cost of revenue expenses driven largely by increased testing volumes.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$5.8 million increase in Immune Medicine Adjusted EBITDA deficit was primarily attributable to an $8.5 million decrease in Immune Medicine revenue, resulting largely from the termination of the Genentech Agreement in August 2025, partially offset by a $2.7 million decrease in operating expenses, excluding segment non-cash and restructuring expenses. The decrease in these operating expenses was primarily due to a decrease in research and development expenses driven largely by reduced personnel and laboratory materials costs.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Adjusted EBITDA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Adjusted EBITDA is a non-GAAP financial measure that we define as net loss attributable to Adaptive Biotechnologies Corporation adjusted for interest and other income, net, interest expense, income tax (expense) benefit, depreciation and amortization expense, impairment costs for long-lived assets, restructuring expense, share-based compensation expense and revenue interest liability extinguishment loss. We define our segment Adjusted EBITDA in the same way to the extent the net loss attributable to Adaptive Biotechnologies Corporation and adjustments are allocable to each segment. See Note 14, </w:t>
      </w:r>
      <w:r>
        <w:rPr>
          <w:rFonts w:ascii="Times New Roman" w:hAnsi="Times New Roman"/>
          <w:i/>
          <w:color w:val="000000"/>
          <w:sz w:val="20"/>
        </w:rPr>
        <w:t xml:space="preserve">Segment Information </w:t>
      </w:r>
      <w:r>
        <w:rPr>
          <w:rFonts w:ascii="Times New Roman" w:hAnsi="Times New Roman"/>
          <w:color w:val="000000"/>
          <w:sz w:val="20"/>
        </w:rPr>
        <w:t>of the accompanying notes to the unaudited condensed consolidated financial statements included elsewhere in this report for more information regarding segment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uses Adjusted EBITDA, including segment Adjusted EBITDA, to evaluate the financial performance of our business and segments and to evaluate the effectiveness of our strategies. We present these figures because we believe they are frequently used by analysts, investors and other interested parties to evaluate companies in our industry and they facilitate comparisons on a consistent basis across reporting periods. Further, we believe it is helpful in highlighting trends in our operating results because it excludes items that are not indicative of our core operating performance.</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including segment Adjusted EBITDA, has limitations as an analytical tool and you should not consider it in isolation or as a substitute for analysis of our results as reported under GAAP. We may in the future incur expenses similar to the adjustments we make. In particular, we expect to incur meaningful share-based compensation expense in the future. Other limitations include that Adjusted EBITDA, including segment Adjusted EBITDA, does not reflect: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expenditures or future requirements for capital expenditures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working capital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and interest expense, which is an ongoing element of our costs to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benefit, which may be a necessary element of our costs and ability to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replacing the assets being depreciated and amortized, which will often have to be replaced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noncash component of employee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impairment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earnings or charges resulting from matters we consider not to be reflective, on a recurring basis, of our ongoing operations, such as our restructuring activities, reductions in workforce and our revenue interest liability extinguishment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Adjusted EBITDA, including segment Adjusted EBITDA, may not be comparable to similarly titled measures used by other companies in our industry or across different industries.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reconciliation of net loss attributable to Adaptive Biotechnologies Corporation, the most directly comparable GAAP financial measure, to Adjusted EBITDA for the periods presented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91"/>
        <w:gridCol w:w="146"/>
        <w:gridCol w:w="215"/>
        <w:gridCol w:w="754"/>
        <w:gridCol w:w="169"/>
        <w:gridCol w:w="148"/>
        <w:gridCol w:w="215"/>
        <w:gridCol w:w="754"/>
        <w:gridCol w:w="166"/>
        <w:gridCol w:w="146"/>
        <w:gridCol w:w="211"/>
        <w:gridCol w:w="736"/>
        <w:gridCol w:w="166"/>
        <w:gridCol w:w="146"/>
        <w:gridCol w:w="211"/>
        <w:gridCol w:w="736"/>
        <w:gridCol w:w="395"/>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Adaptive Biotechnologies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 of long-lived assets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expense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Loss on revenue interest liability extinguishment</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Represents costs associated with our now settled revenue interest liability and the noncash interest costs associated with the full amortization of deferred issuance costs related to the Purchase Agreement, as well as the amortization of deferred costs related to issuance of the Notes. See Note 9, </w:t>
      </w:r>
      <w:r>
        <w:rPr>
          <w:rFonts w:ascii="Times New Roman" w:hAnsi="Times New Roman"/>
          <w:i/>
          <w:color w:val="000000"/>
          <w:sz w:val="20"/>
        </w:rPr>
        <w:t xml:space="preserve">Revenue Interest Purchase Agreement </w:t>
      </w:r>
      <w:r>
        <w:rPr>
          <w:rFonts w:ascii="Times New Roman" w:hAnsi="Times New Roman"/>
          <w:color w:val="000000"/>
          <w:sz w:val="20"/>
        </w:rPr>
        <w:t>and Note 8</w:t>
      </w:r>
      <w:r>
        <w:rPr>
          <w:rFonts w:ascii="Times New Roman" w:hAnsi="Times New Roman"/>
          <w:i/>
          <w:color w:val="000000"/>
          <w:sz w:val="20"/>
        </w:rPr>
        <w:t xml:space="preserve">, Convertible Senior Notes and Capped Call Transactions </w:t>
      </w:r>
      <w:r>
        <w:rPr>
          <w:rFonts w:ascii="Times New Roman" w:hAnsi="Times New Roman"/>
          <w:color w:val="000000"/>
          <w:sz w:val="20"/>
        </w:rPr>
        <w:t>of the accompanying notes to the unaudited condensed consolidated financial statements included elsewhere in this report for details on interest expense.</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Represents expenses recognized in conjunction with a restructuring that primarily impacted research and development activities.</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Represents share-based compensation expense related to various awards. See Note 12, </w:t>
      </w:r>
      <w:r>
        <w:rPr>
          <w:rFonts w:ascii="Times New Roman" w:hAnsi="Times New Roman"/>
          <w:i/>
          <w:color w:val="000000"/>
          <w:sz w:val="20"/>
        </w:rPr>
        <w:t>Equity Incentive Plans</w:t>
      </w:r>
      <w:r>
        <w:rPr>
          <w:rFonts w:ascii="Times New Roman" w:hAnsi="Times New Roman"/>
          <w:color w:val="000000"/>
          <w:sz w:val="20"/>
        </w:rPr>
        <w:t xml:space="preserve"> of the accompanying notes to the unaudited condensed consolidated financial statements included elsewhere in this report for details on our share-based compensation expense.</w:t>
      </w:r>
    </w:p>
    <w:p>
      <w:pPr>
        <w:pStyle w:val="TextBody"/>
        <w:bidi w:val="0"/>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Represents the loss recognized in connection with our early settlement of the Purchase Agreement.</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since inception, apart from the three month period ended September 30, 2025, and have incurred negative cash flows from operations since inception through June 30, 2026, with the exception of certain 2019 periods for which we had positive cash flows from operations. As of June 30, 2026, we had an accumulated deficit of $1.4 billion.</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to date principally from the sale of convertible preferred stock and common stock, revenue, proceeds received from the Purchase Agreement and proceeds received from the Notes offering. Pursuant to the Purchase Agreement entered into in September 2022, we received net cash proceeds of $124.4 million, after deducting issuance costs. In June 2026, we issued the Notes, whereby we received net cash proceeds of $128.0 million, after deducting issuance costs paid, costs to extinguish our revenue interest liability under the Purchase Agreement, fees paid for the capped call transactions and costs to repurchase 1,451,800 shares of our common stock. As of June 30, 2026, we had cash, cash equivalents and marketable securities of $356.7 million, excluding $15.1 million of cash and cash equivalents held by Digital Biotechnologies,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existing cash, cash equivalents and marketable securities will be sufficient to fund our operating expenses and capital expenditure requirements through at least the next 12 months. We may consider raising additional capital to expand our business, to pursue strategic investments, to take advantage of financing opportunities or for other reasons.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available cash, cash equivalents and marketable securities balances and anticipated cash flows are insufficient to satisfy our liquidity requirements, we may seek to sell additional equity or convertible debt securities, enter into a credit facility or another form of third-party funding or seek other debt financing. The sale of equity and convertible debt securities may result in dilution to our shareholders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This additional capital may not be available on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utilize the existing cash, cash equivalents and marketable securities on hand primarily to fund our commercial and assay development initiatives associated with clonoSEQ, our continued research and development initiatives related to mapping TCRs to antigens and the advancement of our target discovery capabilities. Cash in excess of immediate requirements is invested in accordance with our investment policy, primarily with a view to capital preservation and liquidity. Currently, our funds are held in money market funds and marketable securities consisting of U.S. government treasury and agency securities, commercial paper and corporate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may experience variability in revenue in the near term, over the long term we expect revenue from our current and future products and services to grow. Accordingly, we expect our accounts receivable and inventory balances to increase. Our levels of accounts receivable may fluctuate relative to our revenue for a number of reasons, including the timing of milestone triggers and related payment of those milestones and an increase in revenue generated from clinical customers, which may result in more billings in arrears as opposed to upfront payments. Any increase in accounts receivable and inventory may not be completely offset by increases in accounts payable and accrued expenses, which could result in greater working capital requirements.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Contractual Obligations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2026, we issued $345.0 million in aggregate principal amount of Notes. We used a portion of the proceeds from the Notes offering to extinguish our revenue interest liability under the Purchase Agreement. See Note 7, </w:t>
      </w:r>
      <w:r>
        <w:rPr>
          <w:rFonts w:ascii="Times New Roman" w:hAnsi="Times New Roman"/>
          <w:i/>
          <w:color w:val="000000"/>
          <w:sz w:val="20"/>
        </w:rPr>
        <w:t xml:space="preserve">Leases, </w:t>
      </w:r>
      <w:r>
        <w:rPr>
          <w:rFonts w:ascii="Times New Roman" w:hAnsi="Times New Roman"/>
          <w:color w:val="000000"/>
          <w:sz w:val="20"/>
        </w:rPr>
        <w:t xml:space="preserve">Note 8, </w:t>
      </w:r>
      <w:r>
        <w:rPr>
          <w:rFonts w:ascii="Times New Roman" w:hAnsi="Times New Roman"/>
          <w:i/>
          <w:color w:val="000000"/>
          <w:sz w:val="20"/>
        </w:rPr>
        <w:t>Convertible Senior Notes and Capped Call Transactions</w:t>
      </w:r>
      <w:r>
        <w:rPr>
          <w:rFonts w:ascii="Times New Roman" w:hAnsi="Times New Roman"/>
          <w:color w:val="000000"/>
          <w:sz w:val="20"/>
        </w:rPr>
        <w:t xml:space="preserve"> and Note 9, </w:t>
      </w:r>
      <w:r>
        <w:rPr>
          <w:rFonts w:ascii="Times New Roman" w:hAnsi="Times New Roman"/>
          <w:i/>
          <w:color w:val="000000"/>
          <w:sz w:val="20"/>
        </w:rPr>
        <w:t xml:space="preserve">Revenue Interest Purchase Agreement </w:t>
      </w:r>
      <w:r>
        <w:rPr>
          <w:rFonts w:ascii="Times New Roman" w:hAnsi="Times New Roman"/>
          <w:color w:val="000000"/>
          <w:sz w:val="20"/>
        </w:rPr>
        <w:t>of the accompanying notes to the unaudited condensed consolidated financial statements included elsewhere in this report for more information regarding our contractual obligations relating to lease agreements, the Notes and the settlement of our obligations under the Purchase Agreement,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other material changes outside the ordinary course of business to our contractual obligations and commitments as previously disclosed in our Annual Report on Form 10-K for the year ended December 31, 2025 (the “Annual Report”) filed with the SEC on February 26, 2026.</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uses and sources of cash for the six months ended June 30, 2026 and 2025 (in thousands):</w:t>
      </w:r>
    </w:p>
    <w:p>
      <w:pPr>
        <w:pStyle w:val="TextBody"/>
        <w:bidi w:val="0"/>
        <w:jc w:val="left"/>
        <w:rPr/>
      </w:pPr>
      <w:r>
        <w:rPr/>
        <w:t> </w:t>
      </w:r>
    </w:p>
    <w:tbl>
      <w:tblPr>
        <w:tblW w:w="6809" w:type="dxa"/>
        <w:jc w:val="left"/>
        <w:tblInd w:w="0" w:type="dxa"/>
        <w:tblLayout w:type="fixed"/>
        <w:tblCellMar>
          <w:top w:w="28" w:type="dxa"/>
          <w:left w:w="28" w:type="dxa"/>
          <w:bottom w:w="28" w:type="dxa"/>
          <w:right w:w="28" w:type="dxa"/>
        </w:tblCellMar>
      </w:tblPr>
      <w:tblGrid>
        <w:gridCol w:w="4201"/>
        <w:gridCol w:w="146"/>
        <w:gridCol w:w="211"/>
        <w:gridCol w:w="781"/>
        <w:gridCol w:w="166"/>
        <w:gridCol w:w="146"/>
        <w:gridCol w:w="211"/>
        <w:gridCol w:w="736"/>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24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primarily comprised of net loss, as adjusted for noncash items, and changes in operating assets and liabilities. Noncash adjustments consist primarily of the loss recognized upon our early settlement of the Purchase Agreement and share-based compensation.</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$15.9 million as compared to $40.9 million for the six months ended June 30, 2026 and 2025, respectively. The decrease in net cash used in operating activities was primarily driven by an increase in customer collections, partially offset by an increase in interest payments.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$34.3 million as compared to $28.9 million net cash provided by investing activities for the six months ended June 30, 2026 and 2025, respectively. The increase in net cash used in investing activities was primarily due to a decrease in proceeds from maturities of marketable securities and an increase in purchases of marketable securities.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$149.7 million as compared to $7.1 million for the six months ended June 30, 2026 and 2025, respectively. The increase in net cash provided by financing activities was primarily due to proceeds received from the Notes, an increase in proceeds from the exercise of stock options and proceeds received from Digital Biotechnologies, Inc.’s Series A Preferred Stock financing, partially offset by the revenue interest liability extinguishment, the purchase of capped calls and the repurchase of our common stock.</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Net Operating Loss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Utilization of our net operating loss (“NOL”) carryforwards and credits may be subject to a substantial annual limitation due to the ownership change limitations provided by Section 382 of the Internal Revenue Code of 1986 (“Section 382”) and similar state provisions. The annual limitation may result in the expiration of NOL carryforwards and credits before utilization. If there should be an ownership change, our ability to utilize our NOL carryforwards and credits could be limited. We have completed a Section 382 analysis for changes in ownership through December 31, 2023 and continue to monitor for changes that could trigger a limitation. Based on this analysis, we do not expect to have any permanent limitations on the utilization of our federal NOLs. Under the Tax Cuts and Jobs Act of 2017, federal NOLs incurred in 2018 and future years may be carried forward indefinitely, but the deductibility of such federal NOLs is subject to an annual limitation. NOLs generated prior to 2018 are eligible to be carried forward up to 20 years. Based on the available objective evidence, management determined that it was more likely than not that the net deferred tax assets would not be realizable as of December 31, 2025. Accordingly, management applied a full valuation allowance against net deferred tax assets as of December 31, 2025.</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prepared the unaudited condensed consolidated financial statements in accordance with GAAP. Our preparation of these unaudited condensed consolidated financial statements requires us to make certain estimates, judgments and assumptions that affect the reported amounts of assets and liabilities and the related disclosures at the date of the unaudited condensed consolidated financial statements, as well as the reported amounts of revenues and expenses recorded during the periods presented. We evaluate our estimates and judgments on an ongoing basis. We base our estimates on historical experience and other relevant assumptions that we believe to be reasonable under the circumstances. Estimates are used in several areas, including, but not limited to, estimates of progress to date for certain performance obligations and the transaction price for certain contracts with customers, imputing interest for the Purchase Agreement, the provision for income taxes, including related reserves, the analysis of goodwill impairment and the recoverability and impairment of long-lived assets, among others. These estimates generally involve complex issues and require judgments, involve the analysis of historical results and prediction of future trends, can require extended periods of time to resolve and are subject to change from period to period. Actual results may differ materially from management’s estimates.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While our significant accounting policies are described in more detail in our Annual Report filed with the SEC on February 26, 2026, as well as in Note 2, </w:t>
      </w:r>
      <w:r>
        <w:rPr>
          <w:rFonts w:ascii="Times New Roman" w:hAnsi="Times New Roman"/>
          <w:i/>
          <w:color w:val="000000"/>
          <w:sz w:val="20"/>
        </w:rPr>
        <w:t>Significant Accounting Policies</w:t>
      </w:r>
      <w:r>
        <w:rPr>
          <w:rFonts w:ascii="Times New Roman" w:hAnsi="Times New Roman"/>
          <w:color w:val="000000"/>
          <w:sz w:val="20"/>
        </w:rPr>
        <w:t xml:space="preserve"> of the accompanying notes to the unaudited condensed consolidated financial statements included elsewhere in this report, we believe the following accounting policies are critical to the judgments and estimates used in the preparation of the unaudited condensed consolidated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recognition;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recoverability and 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critical accounting policies and estimates as previously disclosed in our Annual Report filed with the SEC on February 26, 2026.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Recent Accounting Pronouncements</w:t>
      </w:r>
    </w:p>
    <w:p>
      <w:pPr>
        <w:pStyle w:val="TextBody"/>
        <w:bidi w:val="0"/>
        <w:jc w:val="left"/>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 xml:space="preserve">Significant Accounting Policies </w:t>
      </w:r>
      <w:r>
        <w:rPr>
          <w:rFonts w:ascii="Times New Roman" w:hAnsi="Times New Roman"/>
          <w:color w:val="000000"/>
          <w:sz w:val="20"/>
        </w:rPr>
        <w:t>of the accompanying notes to the unaudited condensed consolidated financial statements included elsewhere in this report for more information.</w:t>
      </w:r>
    </w:p>
    <w:p>
      <w:pPr>
        <w:pStyle w:val="Heading2"/>
        <w:bidi w:val="0"/>
        <w:spacing w:before="360" w:after="283"/>
        <w:jc w:val="left"/>
        <w:rPr>
          <w:rFonts w:ascii="Times New Roman" w:hAnsi="Times New Roman"/>
          <w:color w:val="000000"/>
          <w:sz w:val="20"/>
        </w:rPr>
      </w:pPr>
      <w:bookmarkStart w:id="11" w:name="item_3_quantitative_qualitative_disclosu"/>
      <w:bookmarkEnd w:id="11"/>
      <w:r>
        <w:rPr>
          <w:rFonts w:ascii="Times New Roman" w:hAnsi="Times New Roman"/>
          <w:color w:val="000000"/>
          <w:sz w:val="20"/>
        </w:rPr>
        <w:t xml:space="preserve">Item 3. Quantitative and Qualitative Disclosures About Market Risk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and cash equivalents and marketable securities. As of June 30, 2026, there have been no material changes to our market risks as previously disclosed in our Annual Report filed with the SEC on February 26, 2026. We do not enter into investments for trading purposes and have not used any derivative financial instruments to manage our interest rate risk exposure.</w:t>
      </w:r>
    </w:p>
    <w:p>
      <w:pPr>
        <w:pStyle w:val="Heading2"/>
        <w:bidi w:val="0"/>
        <w:spacing w:before="360" w:after="283"/>
        <w:jc w:val="left"/>
        <w:rPr>
          <w:rFonts w:ascii="Times New Roman" w:hAnsi="Times New Roman"/>
          <w:color w:val="000000"/>
          <w:sz w:val="20"/>
        </w:rPr>
      </w:pPr>
      <w:bookmarkStart w:id="12" w:name="item_4_controls_procedures"/>
      <w:bookmarkEnd w:id="12"/>
      <w:r>
        <w:rPr>
          <w:rFonts w:ascii="Times New Roman" w:hAnsi="Times New Roman"/>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 13a-15 under the Securities Exchange Act of 1934, as amended (the “Exchange Act”) as of the end of the period covered by this report. Based on that evaluation, our chief executive officer and chief financial officer have concluded that our disclosure controls and procedures were effective as of June 30, 2026. There was not any change in our internal control over financial reporting (as such term is defined in Rule 13a-15(f) under the Exchange Act) during the three months ended June 30, 2026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2"/>
        <w:bidi w:val="0"/>
        <w:jc w:val="center"/>
        <w:rPr>
          <w:rFonts w:ascii="Times New Roman" w:hAnsi="Times New Roman"/>
          <w:color w:val="000000"/>
          <w:sz w:val="20"/>
        </w:rPr>
      </w:pPr>
      <w:bookmarkStart w:id="13" w:name="part_ii_or_information"/>
      <w:bookmarkEnd w:id="13"/>
      <w:r>
        <w:rPr>
          <w:rFonts w:ascii="Times New Roman" w:hAnsi="Times New Roman"/>
          <w:color w:val="000000"/>
          <w:sz w:val="20"/>
        </w:rPr>
        <w:t>PART II—OTHER 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a high degree of risk. We operate in a rapidly changing environment that involves a number of risks that could materially affect our business, financial condition or future results, some of which are beyond our control. In addition to the other information set forth in this report, the risks and uncertainties that we believe are most important for you to consider are discussed in Part I, Item 1A under the caption “Risk Factors” in our Annual Report filed with the SEC on February 26, 2026. The risk factors may be important to understanding other statements in this report and should be read in conjunction with the unaudited condensed consolidated financial statements and related notes in this report. The occurrence of any single risk or any combination of risks could materially and adversely affect our business, operations, product pipeline, operating results, financial condition or liquidity, and consequently, the value of our securities. Further, additional risks that we currently do not know about or that we currently believe to be immaterial may also impair our business, financial condition, operating results and prospects. Other than the risk factors set forth below, there have been no material changes to the risk factors described in our Annual Report filed with the SEC on February 26,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we completed our offering of an aggregate principal amount of $345.0 million of Notes. 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spacing w:before="120" w:after="160"/>
        <w:jc w:val="left"/>
        <w:rPr>
          <w:color w:val="000000"/>
        </w:rPr>
      </w:pPr>
      <w:r>
        <w:rPr>
          <w:color w:val="000000"/>
        </w:rPr>
        <w: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requiring the dedication of a substantial portion of our cash flow from operations to service our indebtedness, which will reduce the amount of cash available for other purposes;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limiting our flexibility to plan for, or react to, changes in our business;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diluting the interests of our existing shareholders as a result of issuing shares of our common stock upon conversion of the notes;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may not generate sufficient funds, and we may otherwise be unable to maintain sufficient cash reserves, to pay amounts due under our indebtedness, including the Notes, and our cash needs may increase in the future. Our ability to meet our payment and other obligations under our debt instruments depends on our ability to generate significant cash flow in the future, which is, to some extent, subject to general economic, financial, competitive, legislative and regulatory factors as well as other factors that are beyond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enough available cash or be able to obtain financing at the time we are required to repurchase the Notes or pay any cash amounts due upon their maturity or conversion. In addition, applicable law, regulatory authorities and any agreements governing other indebtedness may restrict our ability to repurchase the Notes or to pay any cash amounts due upon their maturity or conversion. Our failure to repurchase notes or to pay any cash amounts due upon their maturity or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above-listed factors could have an adverse effect on our business, financial condition and results of operations and our ability to meet our payment obligations under the Notes and our other debt.</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Transactions relating to our Notes may affect the value of our common stock or have other adverse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transactions relating to the Notes could adversely affect the value of your investment. For example, the conversion of some or all of the Notes, when convertible, would dilute the ownership interests of existing shareholders to the extent we satisfy our conversion obligation by delivering common stock upon such conversion. In addition, we will have the right to redeem the Notes, in whole or in part, in certain circumstances on or after July 1, 2029, which if exercised would reduce our cash available for other purposes. Moreover, in the event of a fundamental change (as defined in the Indenture), noteholders will have the right to require us to repurchase their Notes for cash as provided in the indenture and, if a takeover constitutes a make-whole fundamental change, we may be required to temporarily increase the conversion rate. In either case, and in other cases, our obligations under the Notes and the indenture could increase the cost of acquiring us or otherwise discourage a third party from acquiring us or removing incumbent management, including in a transaction that holders of our common stock may view as favorable. In addition, the option counterparties in the capped call transactions we entered into in connection with the Notes offering may modify their hedge positions, which could also cause or avoid an increase or a decrease in the market price of our common stock. Accordingly, potential future transactions relating to the Notes could have an adverse effect on our business, our financial condition and the value of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realize the anticipated benefits of separating our Immune Medicine business from our MRD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our Immune Medicine business enters its next phase of growth, we believe the long-term potential of its differentiated assets may be best realized outside of the diagnostic commercial model of our MRD business. Accordingly, we have announced that we plan to separate our Immune Medicine business from our MRD business. However, we may not achieve the anticipated operational, financial, strategic and other benefits of the separation. If strategic and structural alternatives for Immune Medicine do not emerge, we may not succeed in separating it from our MRD business, and any alternatives that do become available to us may have commercially challenging terms. Even if we do separate our Immune Medicine business, it may be unable to access the required capital, personnel, technology, or other resources necessary for the business to separately pursue its growth opportunities. Whether or not the separation is successful, pursuing the separation may distract our management, require time and resources, or adversely impact our operations, employee retention and morale, customer and partner retention, and other important relationships. As a result, we may not realize the anticipated benefits of separating our Immune Medicine business from our MRD business.</w:t>
      </w:r>
    </w:p>
    <w:p>
      <w:pPr>
        <w:pStyle w:val="TextBody"/>
        <w:bidi w:val="0"/>
        <w:spacing w:before="360" w:after="283"/>
        <w:jc w:val="left"/>
        <w:rPr>
          <w:rFonts w:ascii="Times New Roman" w:hAnsi="Times New Roman"/>
          <w:sz w:val="20"/>
        </w:rPr>
      </w:pPr>
      <w:bookmarkStart w:id="16" w:name="item_2_unregistered_sales_of_equity_secu"/>
      <w:bookmarkEnd w:id="16"/>
      <w:r>
        <w:rPr>
          <w:rFonts w:ascii="Times New Roman" w:hAnsi="Times New Roman"/>
          <w:b/>
          <w:color w:val="000000"/>
          <w:sz w:val="20"/>
        </w:rPr>
        <w:t>Item 2. Unregistered Sales</w:t>
      </w:r>
      <w:r>
        <w:rPr>
          <w:rFonts w:ascii="Times New Roman" w:hAnsi="Times New Roman"/>
          <w:color w:val="000000"/>
          <w:sz w:val="20"/>
        </w:rPr>
        <w:t xml:space="preserve"> </w:t>
      </w:r>
      <w:r>
        <w:rPr>
          <w:rFonts w:ascii="Times New Roman" w:hAnsi="Times New Roman"/>
          <w:b/>
          <w:color w:val="000000"/>
          <w:sz w:val="20"/>
        </w:rPr>
        <w:t>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purchases of common stock made by us or any “affiliated purchaser” (as defined in Rule 10b-18(a)(3) of the Exchange Act) for the 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146"/>
        <w:gridCol w:w="215"/>
        <w:gridCol w:w="1375"/>
        <w:gridCol w:w="146"/>
        <w:gridCol w:w="146"/>
        <w:gridCol w:w="341"/>
        <w:gridCol w:w="924"/>
        <w:gridCol w:w="146"/>
        <w:gridCol w:w="146"/>
        <w:gridCol w:w="328"/>
        <w:gridCol w:w="2093"/>
        <w:gridCol w:w="146"/>
        <w:gridCol w:w="146"/>
        <w:gridCol w:w="866"/>
        <w:gridCol w:w="2057"/>
        <w:gridCol w:w="195"/>
      </w:tblGrid>
      <w:tr>
        <w:trPr/>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(or units)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 (or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(or units)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(or approximate dollar value) of shares (or units) that may yet be purchased under the plans or programs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1,451,800</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1,451,800</w:t>
            </w:r>
            <w:r>
              <w:rPr>
                <w:rFonts w:ascii="Times New Roman" w:hAnsi="Times New Roman"/>
                <w:color w:val="000000"/>
                <w:sz w:val="13"/>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Reflects our use of $25.0 million to repurchase 1,451,800 shares of our common stock concurrently with the closing of the Notes offering.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On June 15, 2026, in connection with announcing the commencement of the Notes offering, we announced our intention to use up to $25.0 million of the net proceeds from the Notes offering to repurchase shares of our common stock concurrently with the pricing of the Notes offering in privately negotiated transactions effected through one of the initial purchasers of the Notes or its affiliate.</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2"/>
        <w:bidi w:val="0"/>
        <w:spacing w:before="360" w:after="283"/>
        <w:jc w:val="left"/>
        <w:rPr>
          <w:rFonts w:ascii="Times New Roman" w:hAnsi="Times New Roman"/>
          <w:color w:val="000000"/>
          <w:sz w:val="20"/>
        </w:rPr>
      </w:pPr>
      <w:bookmarkStart w:id="18" w:name="item_4_mine_safety_disclosures"/>
      <w:bookmarkEnd w:id="18"/>
      <w:r>
        <w:rPr>
          <w:rFonts w:ascii="Times New Roman" w:hAnsi="Times New Roman"/>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r>
        <w:rPr>
          <w:rFonts w:ascii="Times New Roman" w:hAnsi="Times New Roman"/>
          <w:b/>
          <w:color w:val="000000"/>
          <w:sz w:val="20"/>
        </w:rPr>
        <w:t>Item 5. Oth</w:t>
      </w:r>
      <w:bookmarkStart w:id="19" w:name="item_5_other_information"/>
      <w:bookmarkEnd w:id="19"/>
      <w:r>
        <w:rPr>
          <w:rFonts w:ascii="Times New Roman" w:hAnsi="Times New Roman"/>
          <w:b/>
          <w:color w:val="000000"/>
          <w:sz w:val="20"/>
        </w:rPr>
        <w:t>er</w:t>
      </w:r>
      <w:bookmarkStart w:id="20" w:name="item_9b_or_information"/>
      <w:bookmarkEnd w:id="20"/>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30, 2026, we entered into a Data and Model Partnership and Platform Hosting Trial and Agreement (the “Platform Agreement”) with Harell Data Corp. (“Harell”), a data-sharing, cloud-computing company. With the approval of our board of directors, our Chief Scientific Officer and Co-founder, Dr. Harlan Robins, founded Harell and has served as a director but not a paid employee. Pursuant to the Platform Agreement, we have agreed to license certain TCR binding datasets and machine learning models for training and use by Harell customers in consideration for specified percentages of the aggregate customer revenue from training, inference, and gross model inference activities, as set forth in the Platform Agreement. We will retain ownership of all datasets and models licensed to Harell, and we have agreed not to provide the datasets to any platform that offers a usage-based model other than Harell.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30, 2026, we entered into a consulting agreement with our former Chief Scientific Officer, Dr. Harlan Robins, effective August 1, 2026 pursuant to our standard form (the “Consulting Agreement”), under which Dr. Robins transitioned to a consultant in a scientific advisory role with us. Through the 12-month initial term, and up to a year thereafter subject to our right to terminate the Consulting Agreement, Dr. Robins has agreed to support research and development efforts for the MRD business and the separation of the Immune Medicine business, for a fee of $12,000 per month and for the vesting of all unvested time-based awards upon a change in control, so long as he is a service provider (as described in our 2019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descriptions are summaries of the Platform Agreement and the Consulting Agreement, which we intend to file as exhibits to our Form 10-Q for the quarterly period ending September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9"/>
        <w:gridCol w:w="146"/>
        <w:gridCol w:w="5126"/>
        <w:gridCol w:w="586"/>
        <w:gridCol w:w="807"/>
        <w:gridCol w:w="736"/>
        <w:gridCol w:w="699"/>
        <w:gridCol w:w="1286"/>
      </w:tblGrid>
      <w:tr>
        <w:trPr/>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8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4"/>
            <w:tcBorders>
              <w:bottom w:val="single" w:sz="4"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28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19" w:type="dxa"/>
            <w:tcBorders>
              <w:bottom w:val="single" w:sz="4" w:space="0" w:color="000000"/>
            </w:tcBorders>
            <w:tcMar>
              <w:top w:w="0" w:type="dxa"/>
              <w:left w:w="0" w:type="dxa"/>
              <w:bottom w:w="3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26" w:type="dxa"/>
            <w:tcBorders>
              <w:bottom w:val="single" w:sz="4"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Title</w:t>
            </w:r>
          </w:p>
        </w:tc>
        <w:tc>
          <w:tcPr>
            <w:tcW w:w="586" w:type="dxa"/>
            <w:tcBorders>
              <w:bottom w:val="single" w:sz="4"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807" w:type="dxa"/>
            <w:tcBorders>
              <w:bottom w:val="single" w:sz="4"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4"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699" w:type="dxa"/>
            <w:tcBorders>
              <w:bottom w:val="single" w:sz="4"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c>
          <w:tcPr>
            <w:tcW w:w="1286" w:type="dxa"/>
            <w:tcBorders>
              <w:bottom w:val="single" w:sz="4" w:space="0" w:color="000000"/>
            </w:tcBorders>
            <w:tcMar>
              <w:top w:w="0" w:type="dxa"/>
              <w:left w:w="0" w:type="dxa"/>
              <w:bottom w:w="3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Furnished with This Report</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Articles of Incorporation</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001-38957</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7/1/2019</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001-38957</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6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7/1/2019</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Seventh Amended and Restated Investors' Rights Agreement among the Registrant and certain of its shareholders, dated May 30, 2019</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333-231838</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6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5/30/2019</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Indenture, dated as of June 22, 2026, between Adaptive Biotechnologies Corporation and U.S. Bank Trust Company, National Association, as Trustee</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001-38957</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6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6/22/2026</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0% Convertible Senior Notes due 2031 (included as Exhibit A to Exhibit 4.2)</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001-38957</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6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6/22/2026</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Capped Call Confirmation</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001-38957</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6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6/22/2026</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Waiver Agreement, dated as of June 15, 2026, among Adaptive Biotechnologies Corporation, OrbiMed Royalty &amp; Credit Opportunities IV, LP, OrbiMed Royalty &amp; Credit Opportunities III, LP and OrbiMed Royalty &amp; Credit Opportunities IV Offshore, LP</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001-38957</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6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6/22/2026</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tcBorders/>
            <w:tcMar>
              <w:top w:w="0" w:type="dxa"/>
              <w:left w:w="0" w:type="dxa"/>
              <w:bottom w:w="0" w:type="dxa"/>
              <w:right w:w="0" w:type="dxa"/>
            </w:tcMar>
            <w:vAlign w:val="center"/>
          </w:tcPr>
          <w:p>
            <w:pPr>
              <w:pStyle w:val="TableContents"/>
              <w:bidi w:val="0"/>
              <w:spacing w:before="0" w:after="283"/>
              <w:jc w:val="left"/>
              <w:rPr/>
            </w:pPr>
            <w:hyperlink w:anchor="adpt-ex31_1.htm">
              <w:r>
                <w:rPr>
                  <w:rStyle w:val="InternetLink"/>
                  <w:rFonts w:ascii="Times New Roman" w:hAnsi="Times New Roman"/>
                  <w:color w:val="0000FF"/>
                  <w:sz w:val="20"/>
                  <w:u w:val="single"/>
                </w:rPr>
                <w:t>Certification of Principal Executive Officer pursuant to Rule 13a</w:t>
                <w:noBreakHyphen/>
                <w:t>14(a) or Rule 15d</w:t>
                <w:noBreakHyphen/>
                <w:t>14(a) of the Securities Exchange Act of 1934, as adopted pursuant to Section 302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tcBorders/>
            <w:tcMar>
              <w:top w:w="0" w:type="dxa"/>
              <w:left w:w="0" w:type="dxa"/>
              <w:bottom w:w="0" w:type="dxa"/>
              <w:right w:w="0" w:type="dxa"/>
            </w:tcMar>
            <w:vAlign w:val="center"/>
          </w:tcPr>
          <w:p>
            <w:pPr>
              <w:pStyle w:val="TableContents"/>
              <w:bidi w:val="0"/>
              <w:spacing w:before="0" w:after="283"/>
              <w:jc w:val="left"/>
              <w:rPr/>
            </w:pPr>
            <w:hyperlink w:anchor="adpt-ex31_2.htm">
              <w:r>
                <w:rPr>
                  <w:rStyle w:val="InternetLink"/>
                  <w:rFonts w:ascii="Times New Roman" w:hAnsi="Times New Roman"/>
                  <w:color w:val="0000FF"/>
                  <w:sz w:val="20"/>
                  <w:u w:val="single"/>
                </w:rPr>
                <w:t>Certification of Principal Financial Officer pursuant to Rule 13a</w:t>
                <w:noBreakHyphen/>
                <w:t>14(a) or Rule 15d</w:t>
                <w:noBreakHyphen/>
                <w:t>14(a) of the Securities Exchange Act of 1934, as adopted pursuant to Section 302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tcBorders/>
            <w:tcMar>
              <w:top w:w="0" w:type="dxa"/>
              <w:left w:w="0" w:type="dxa"/>
              <w:bottom w:w="0" w:type="dxa"/>
              <w:right w:w="0" w:type="dxa"/>
            </w:tcMar>
            <w:vAlign w:val="center"/>
          </w:tcPr>
          <w:p>
            <w:pPr>
              <w:pStyle w:val="TableContents"/>
              <w:bidi w:val="0"/>
              <w:spacing w:before="0" w:after="283"/>
              <w:jc w:val="left"/>
              <w:rPr/>
            </w:pPr>
            <w:hyperlink w:anchor="adp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32.2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tcBorders/>
            <w:tcMar>
              <w:top w:w="0" w:type="dxa"/>
              <w:left w:w="0" w:type="dxa"/>
              <w:bottom w:w="0" w:type="dxa"/>
              <w:right w:w="0" w:type="dxa"/>
            </w:tcMar>
            <w:vAlign w:val="center"/>
          </w:tcPr>
          <w:p>
            <w:pPr>
              <w:pStyle w:val="TableContents"/>
              <w:bidi w:val="0"/>
              <w:spacing w:before="0" w:after="283"/>
              <w:jc w:val="left"/>
              <w:rPr/>
            </w:pPr>
            <w:hyperlink w:anchor="adp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(formatted in Inline XBRL and included in Exhibit 101)</w:t>
            </w:r>
          </w:p>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Adaptive Biotechnologies Corporation</w:t>
      </w:r>
    </w:p>
    <w:p>
      <w:pPr>
        <w:pStyle w:val="TextBody"/>
        <w:bidi w:val="0"/>
        <w:jc w:val="left"/>
        <w:rPr/>
      </w:pPr>
      <w:r>
        <w:rPr/>
        <w:t> </w:t>
      </w:r>
    </w:p>
    <w:p>
      <w:pPr>
        <w:pStyle w:val="Heading2"/>
        <w:bidi w:val="0"/>
        <w:jc w:val="center"/>
        <w:rPr>
          <w:rFonts w:ascii="Times New Roman" w:hAnsi="Times New Roman"/>
          <w:color w:val="000000"/>
          <w:sz w:val="20"/>
        </w:rPr>
      </w:pPr>
      <w:bookmarkStart w:id="22" w:name="signatures"/>
      <w:bookmarkEnd w:id="22"/>
      <w:r>
        <w:rPr>
          <w:rFonts w:ascii="Times New Roman" w:hAnsi="Times New Roman"/>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7961" w:type="dxa"/>
        <w:jc w:val="left"/>
        <w:tblInd w:w="0" w:type="dxa"/>
        <w:tblLayout w:type="fixed"/>
        <w:tblCellMar>
          <w:top w:w="28" w:type="dxa"/>
          <w:left w:w="28" w:type="dxa"/>
          <w:bottom w:w="28" w:type="dxa"/>
          <w:right w:w="28" w:type="dxa"/>
        </w:tblCellMar>
      </w:tblPr>
      <w:tblGrid>
        <w:gridCol w:w="1846"/>
        <w:gridCol w:w="109"/>
        <w:gridCol w:w="406"/>
        <w:gridCol w:w="109"/>
        <w:gridCol w:w="549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Adaptive Biotechnologies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Chad Robins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Chad Robins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 (Principal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Kyle Piskel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Piskel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dpt-ex31_1.htm"/>
      <w:bookmarkStart w:id="24" w:name="ksadptex31_1"/>
      <w:bookmarkEnd w:id="23"/>
      <w:bookmarkEnd w:id="24"/>
      <w:r>
        <w:rPr>
          <w:rFonts w:ascii="Times New Roman" w:hAnsi="Times New Roman"/>
          <w:b/>
          <w:color w:val="000000"/>
          <w:sz w:val="20"/>
        </w:rPr>
        <w:t>Exhibit 31.1</w:t>
      </w:r>
      <w:r>
        <w:br w:type="page"/>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 xml:space="preserve">CERTIFICATION OF THE CHIEF EXECUTIVE OFFICER </w:t>
        <w:br/>
        <w:t>PURSUANT TO SECTION 302 OF THE SARBANES-OXLEY ACT OF 2002</w:t>
      </w:r>
    </w:p>
    <w:p>
      <w:pPr>
        <w:pStyle w:val="TextBody"/>
        <w:bidi w:val="0"/>
        <w:spacing w:before="120" w:after="283"/>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Chad Robins,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Adaptive Biotechnologies Corporation;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pPr>
      <w:r>
        <w:rPr/>
        <w:t> </w:t>
      </w:r>
    </w:p>
    <w:tbl>
      <w:tblPr>
        <w:tblW w:w="4874" w:type="dxa"/>
        <w:jc w:val="left"/>
        <w:tblInd w:w="0" w:type="dxa"/>
        <w:tblLayout w:type="fixed"/>
        <w:tblCellMar>
          <w:top w:w="28" w:type="dxa"/>
          <w:left w:w="28" w:type="dxa"/>
          <w:bottom w:w="28" w:type="dxa"/>
          <w:right w:w="28" w:type="dxa"/>
        </w:tblCellMar>
      </w:tblPr>
      <w:tblGrid>
        <w:gridCol w:w="1846"/>
        <w:gridCol w:w="146"/>
        <w:gridCol w:w="40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Chad Robins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Chad Robins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85"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dpt-ex31_2.htm"/>
      <w:bookmarkStart w:id="26" w:name="ksadptex31_2"/>
      <w:bookmarkEnd w:id="25"/>
      <w:bookmarkEnd w:id="26"/>
      <w:r>
        <w:rPr>
          <w:rFonts w:ascii="Times New Roman" w:hAnsi="Times New Roman"/>
          <w:b/>
          <w:color w:val="000000"/>
          <w:sz w:val="20"/>
        </w:rPr>
        <w:t>Exhibit 31.2</w:t>
      </w:r>
      <w:r>
        <w:br w:type="page"/>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 xml:space="preserve">CERTIFICATION OF THE CHIEF FINANCIAL OFFICER </w:t>
        <w:br/>
        <w:t>PURSUANT TO SECTION 302 OF THE SARBANES-OXLEY ACT OF 2002</w:t>
      </w:r>
    </w:p>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Kyle Piskel,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Adaptive Biotechnologies Corporation;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pPr>
      <w:r>
        <w:rPr/>
        <w:t> </w:t>
      </w:r>
    </w:p>
    <w:tbl>
      <w:tblPr>
        <w:tblW w:w="4814" w:type="dxa"/>
        <w:jc w:val="left"/>
        <w:tblInd w:w="0" w:type="dxa"/>
        <w:tblLayout w:type="fixed"/>
        <w:tblCellMar>
          <w:top w:w="28" w:type="dxa"/>
          <w:left w:w="28" w:type="dxa"/>
          <w:bottom w:w="28" w:type="dxa"/>
          <w:right w:w="28" w:type="dxa"/>
        </w:tblCellMar>
      </w:tblPr>
      <w:tblGrid>
        <w:gridCol w:w="1846"/>
        <w:gridCol w:w="146"/>
        <w:gridCol w:w="40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Piskel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Kyle Piskel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44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56" w:after="283"/>
        <w:jc w:val="right"/>
        <w:rPr>
          <w:rFonts w:ascii="Times New Roman" w:hAnsi="Times New Roman"/>
          <w:b/>
          <w:color w:val="000000"/>
          <w:sz w:val="20"/>
        </w:rPr>
      </w:pPr>
      <w:bookmarkStart w:id="27" w:name="adpt-ex32_1.htm"/>
      <w:bookmarkStart w:id="28" w:name="ksadptex32_1"/>
      <w:bookmarkEnd w:id="27"/>
      <w:bookmarkEnd w:id="28"/>
      <w:r>
        <w:rPr>
          <w:rFonts w:ascii="Times New Roman" w:hAnsi="Times New Roman"/>
          <w:b/>
          <w:color w:val="000000"/>
          <w:sz w:val="20"/>
        </w:rPr>
        <w:t>Exhibit 32.1</w:t>
      </w:r>
      <w:r>
        <w:br w:type="page"/>
      </w:r>
    </w:p>
    <w:p>
      <w:pPr>
        <w:pStyle w:val="TextBody"/>
        <w:bidi w:val="0"/>
        <w:spacing w:before="139"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19" w:after="28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19"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9" w:after="283"/>
        <w:jc w:val="center"/>
        <w:rPr/>
      </w:pPr>
      <w:r>
        <w:rPr/>
        <w:t> </w:t>
      </w:r>
    </w:p>
    <w:p>
      <w:pPr>
        <w:pStyle w:val="TextBody"/>
        <w:bidi w:val="0"/>
        <w:spacing w:before="124" w:after="283"/>
        <w:jc w:val="both"/>
        <w:rPr>
          <w:rFonts w:ascii="Times New Roman" w:hAnsi="Times New Roman"/>
          <w:color w:val="000000"/>
          <w:sz w:val="20"/>
        </w:rPr>
      </w:pPr>
      <w:r>
        <w:rPr>
          <w:rFonts w:ascii="Times New Roman" w:hAnsi="Times New Roman"/>
          <w:color w:val="000000"/>
          <w:sz w:val="20"/>
        </w:rPr>
        <w:t>In connection with the Quarterly Report of Adaptive Biotechnologies Corporation (the “Company”) on Form 10-Q for the quarterly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spacing w:before="240" w:after="283"/>
        <w:jc w:val="both"/>
        <w:rPr/>
      </w:pPr>
      <w:r>
        <w:rPr/>
        <w:t> </w:t>
      </w:r>
    </w:p>
    <w:tbl>
      <w:tblPr>
        <w:tblW w:w="4874" w:type="dxa"/>
        <w:jc w:val="left"/>
        <w:tblInd w:w="0" w:type="dxa"/>
        <w:tblLayout w:type="fixed"/>
        <w:tblCellMar>
          <w:top w:w="28" w:type="dxa"/>
          <w:left w:w="28" w:type="dxa"/>
          <w:bottom w:w="28" w:type="dxa"/>
          <w:right w:w="28" w:type="dxa"/>
        </w:tblCellMar>
      </w:tblPr>
      <w:tblGrid>
        <w:gridCol w:w="1846"/>
        <w:gridCol w:w="146"/>
        <w:gridCol w:w="40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Chad Robins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Chad Robins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78" w:after="283"/>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56" w:after="283"/>
        <w:jc w:val="right"/>
        <w:rPr>
          <w:rFonts w:ascii="Times New Roman" w:hAnsi="Times New Roman"/>
          <w:b/>
          <w:color w:val="000000"/>
          <w:sz w:val="20"/>
        </w:rPr>
      </w:pPr>
      <w:bookmarkStart w:id="29" w:name="adpt-ex32_2.htm"/>
      <w:bookmarkStart w:id="30" w:name="ksadptex32_2"/>
      <w:bookmarkEnd w:id="29"/>
      <w:bookmarkEnd w:id="30"/>
      <w:r>
        <w:rPr>
          <w:rFonts w:ascii="Times New Roman" w:hAnsi="Times New Roman"/>
          <w:b/>
          <w:color w:val="000000"/>
          <w:sz w:val="20"/>
        </w:rPr>
        <w:t>Exhibit 32.2</w:t>
      </w:r>
      <w:r>
        <w:br w:type="page"/>
      </w:r>
    </w:p>
    <w:p>
      <w:pPr>
        <w:pStyle w:val="TextBody"/>
        <w:bidi w:val="0"/>
        <w:spacing w:before="139"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19" w:after="28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19"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9" w:after="283"/>
        <w:jc w:val="center"/>
        <w:rPr/>
      </w:pPr>
      <w:r>
        <w:rPr/>
        <w:t> </w:t>
      </w:r>
    </w:p>
    <w:p>
      <w:pPr>
        <w:pStyle w:val="TextBody"/>
        <w:bidi w:val="0"/>
        <w:spacing w:before="124" w:after="283"/>
        <w:jc w:val="both"/>
        <w:rPr>
          <w:rFonts w:ascii="Times New Roman" w:hAnsi="Times New Roman"/>
          <w:color w:val="000000"/>
          <w:sz w:val="20"/>
        </w:rPr>
      </w:pPr>
      <w:r>
        <w:rPr>
          <w:rFonts w:ascii="Times New Roman" w:hAnsi="Times New Roman"/>
          <w:color w:val="000000"/>
          <w:sz w:val="20"/>
        </w:rPr>
        <w:t>In connection with the Quarterly Report of Adaptive Biotechnologies Corporation (the “Company”) on Form 10-Q for the quarterly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spacing w:before="240" w:after="283"/>
        <w:jc w:val="both"/>
        <w:rPr/>
      </w:pPr>
      <w:r>
        <w:rPr/>
        <w:t> </w:t>
      </w:r>
    </w:p>
    <w:tbl>
      <w:tblPr>
        <w:tblW w:w="4814" w:type="dxa"/>
        <w:jc w:val="left"/>
        <w:tblInd w:w="0" w:type="dxa"/>
        <w:tblLayout w:type="fixed"/>
        <w:tblCellMar>
          <w:top w:w="28" w:type="dxa"/>
          <w:left w:w="28" w:type="dxa"/>
          <w:bottom w:w="28" w:type="dxa"/>
          <w:right w:w="28" w:type="dxa"/>
        </w:tblCellMar>
      </w:tblPr>
      <w:tblGrid>
        <w:gridCol w:w="1846"/>
        <w:gridCol w:w="146"/>
        <w:gridCol w:w="40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Piskel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Kyle Piskel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78" w:after="283"/>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78320/000119312519187427/d27753dex31.htm" TargetMode="External"/><Relationship Id="rId3" Type="http://schemas.openxmlformats.org/officeDocument/2006/relationships/hyperlink" Target="https://www.sec.gov/Archives/edgar/data/1478320/000119312519187427/d27753dex32.htm" TargetMode="External"/><Relationship Id="rId4" Type="http://schemas.openxmlformats.org/officeDocument/2006/relationships/hyperlink" Target="https://www.sec.gov/Archives/edgar/data/1478320/000119312519161447/d706383dex41.htm" TargetMode="External"/><Relationship Id="rId5" Type="http://schemas.openxmlformats.org/officeDocument/2006/relationships/hyperlink" Target="https://www.sec.gov/Archives/edgar/data/1478320/000119312526277516/d28937dex41.htm" TargetMode="External"/><Relationship Id="rId6" Type="http://schemas.openxmlformats.org/officeDocument/2006/relationships/hyperlink" Target="https://www.sec.gov/Archives/edgar/data/1478320/000119312526277516/d28937dex41.htm" TargetMode="External"/><Relationship Id="rId7" Type="http://schemas.openxmlformats.org/officeDocument/2006/relationships/hyperlink" Target="https://www.sec.gov/Archives/edgar/data/1478320/000119312526277516/d28937dex101.htm" TargetMode="External"/><Relationship Id="rId8" Type="http://schemas.openxmlformats.org/officeDocument/2006/relationships/hyperlink" Target="https://www.sec.gov/Archives/edgar/data/1478320/000119312526277516/d28937dex10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22619</Words>
  <Characters>127861</Characters>
  <CharactersWithSpaces>151963</CharactersWithSpaces>
  <Paragraphs>7614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