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0001780662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Adaptive Biotechnologies Corp</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001-38957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1165 EASTLAKE AVE 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SEATTLE</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98109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206-659-0067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PISKEL KYLE</w:t>
      </w:r>
    </w:p>
    <w:p>
      <w:pPr>
        <w:spacing w:after="0" w:line="44" w:lineRule="exact"/>
        <w:rPr>
          <w:sz w:val="24"/>
          <w:szCs w:val="24"/>
          <w:color w:val="auto"/>
        </w:rPr>
      </w:pPr>
    </w:p>
    <w:p>
      <w:pPr>
        <w:sectPr>
          <w:pgSz w:w="11900" w:h="16838" w:orient="portrait"/>
          <w:cols w:equalWidth="0" w:num="2">
            <w:col w:w="6860" w:space="720"/>
            <w:col w:w="36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3160</w:t>
            </w: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9"/>
              </w:rPr>
              <w:t>40542.80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160044392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3160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Kyle Piskel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1165 Eastlake Avenue East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03/11/2026 18672</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245863.56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Seattle  WA  98109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20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on 5/15/2026. This sale is mandated by the Issuer's election under its equity incentive plans to require the satisfaction of tax withholding obligations to be funded by a sell to cover transaction and does not represent a discretionary trade by the Seller.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05/15/2026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Kyle Piskel</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2026-05-15T19:04:36Z</dcterms:created>
  <dcterms:modified xsi:type="dcterms:W3CDTF">2026-05-15T19:04:36Z</dcterms:modified>
</cp:coreProperties>
</file>