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Cohen Chad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line="305" w:lineRule="auto"/>
        <w:rPr>
          <w:sz w:val="20"/>
          <w:szCs w:val="20"/>
          <w:color w:val="auto"/>
        </w:rPr>
      </w:pPr>
      <w:r>
        <w:rPr>
          <w:rFonts w:ascii="Arial" w:cs="Arial" w:eastAsia="Arial" w:hAnsi="Arial"/>
          <w:sz w:val="17"/>
          <w:szCs w:val="17"/>
          <w:color w:val="0000FF"/>
        </w:rPr>
        <w:t>C/O ADAPTIVE BIOTECHNOLOGIES CORP.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Adaptive Biotechnologies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ADPT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11/09/2020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431" w:lineRule="exact"/>
        <w:rPr>
          <w:sz w:val="24"/>
          <w:szCs w:val="24"/>
          <w:color w:val="auto"/>
        </w:rPr>
      </w:pPr>
    </w:p>
    <w:p>
      <w:pPr>
        <w:sectPr>
          <w:pgSz w:w="11900" w:h="16838" w:orient="portrait"/>
          <w:cols w:equalWidth="0" w:num="3">
            <w:col w:w="3380" w:space="540"/>
            <w:col w:w="3340" w:space="48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4"/>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1"/>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11/09/2020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30,000</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6.32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31,000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11/09/2020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17,151</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48.67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13,849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11/09/2020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11,089</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49.63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2,760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11/09/2020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9"/>
              </w:rPr>
              <w:t>1,760</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50.92</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6.32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11/09/2020</w:t>
            </w:r>
          </w:p>
        </w:tc>
        <w:tc>
          <w:tcPr>
            <w:tcW w:w="1140" w:type="dxa"/>
            <w:vAlign w:val="bottom"/>
          </w:tcPr>
          <w:p>
            <w:pPr>
              <w:spacing w:after="0"/>
              <w:rPr>
                <w:sz w:val="16"/>
                <w:szCs w:val="16"/>
                <w:color w:val="auto"/>
              </w:rPr>
            </w:pPr>
          </w:p>
        </w:tc>
        <w:tc>
          <w:tcPr>
            <w:tcW w:w="620" w:type="dxa"/>
            <w:vAlign w:val="bottom"/>
            <w:gridSpan w:val="2"/>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30,000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20"/>
              <w:spacing w:after="0"/>
              <w:rPr>
                <w:sz w:val="20"/>
                <w:szCs w:val="20"/>
                <w:color w:val="auto"/>
              </w:rPr>
            </w:pPr>
            <w:r>
              <w:rPr>
                <w:rFonts w:ascii="Arial" w:cs="Arial" w:eastAsia="Arial" w:hAnsi="Arial"/>
                <w:sz w:val="13"/>
                <w:szCs w:val="13"/>
                <w:color w:val="0000FF"/>
              </w:rPr>
              <w:t>08/25/2025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30,000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520,000</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4"/>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-3684905</wp:posOffset>
            </wp:positionV>
            <wp:extent cx="7033895" cy="382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8239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November 18, 2019.</w:t>
      </w:r>
    </w:p>
    <w:p>
      <w:pPr>
        <w:spacing w:after="0" w:line="43" w:lineRule="exact"/>
        <w:rPr>
          <w:rFonts w:ascii="Arial" w:cs="Arial" w:eastAsia="Arial" w:hAnsi="Arial"/>
          <w:sz w:val="13"/>
          <w:szCs w:val="13"/>
          <w:color w:val="008000"/>
        </w:rPr>
      </w:pPr>
    </w:p>
    <w:p>
      <w:pPr>
        <w:jc w:val="both"/>
        <w:ind w:left="40" w:right="5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for this transaction is a weighted-average price. The shares were sold in multiple transactions ranging from $48.25 to 49.245,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for this transaction is a weighted-average price. The shares were sold in multiple transactions ranging from $49.25 to 50.22,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for this transaction is a weighted-average price. The shares were sold in multiple transactions ranging from $50.455 to 51.20,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Chad Cohen by Eric</w:t>
            </w:r>
          </w:p>
        </w:tc>
        <w:tc>
          <w:tcPr>
            <w:tcW w:w="64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11/12/2020</w:t>
            </w:r>
          </w:p>
        </w:tc>
        <w:tc>
          <w:tcPr>
            <w:tcW w:w="0" w:type="dxa"/>
            <w:vAlign w:val="bottom"/>
          </w:tcPr>
          <w:p>
            <w:pPr>
              <w:spacing w:after="0"/>
              <w:rPr>
                <w:sz w:val="1"/>
                <w:szCs w:val="1"/>
                <w:color w:val="auto"/>
              </w:rPr>
            </w:pPr>
          </w:p>
        </w:tc>
      </w:tr>
      <w:tr>
        <w:trPr>
          <w:trHeight w:val="88"/>
        </w:trPr>
        <w:tc>
          <w:tcPr>
            <w:tcW w:w="1740" w:type="dxa"/>
            <w:vAlign w:val="bottom"/>
            <w:gridSpan w:val="2"/>
            <w:vMerge w:val="restart"/>
          </w:tcPr>
          <w:p>
            <w:pPr>
              <w:spacing w:after="0" w:line="186" w:lineRule="exact"/>
              <w:rPr>
                <w:sz w:val="20"/>
                <w:szCs w:val="20"/>
                <w:color w:val="auto"/>
              </w:rPr>
            </w:pPr>
            <w:r>
              <w:rPr>
                <w:rFonts w:ascii="Arial" w:cs="Arial" w:eastAsia="Arial" w:hAnsi="Arial"/>
                <w:sz w:val="17"/>
                <w:szCs w:val="17"/>
                <w:color w:val="0000FF"/>
                <w:w w:val="93"/>
              </w:rPr>
              <w:t>Billings, Attorney-in-Fact</w:t>
            </w:r>
          </w:p>
        </w:tc>
        <w:tc>
          <w:tcPr>
            <w:tcW w:w="4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40" w:type="dxa"/>
            <w:vAlign w:val="bottom"/>
            <w:tcBorders>
              <w:bottom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4314" TargetMode="External"/><Relationship Id="rId14" Type="http://schemas.openxmlformats.org/officeDocument/2006/relationships/hyperlink" Target="http://www.sec.gov/cgi-bin/browse-edgar?action=getcompany&amp;CIK=0001478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2020-11-12T20:02:21Z</dcterms:created>
  <dcterms:modified xsi:type="dcterms:W3CDTF">2020-11-12T20:02:21Z</dcterms:modified>
</cp:coreProperties>
</file>