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46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4606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20" w:type="dxa"/>
            <w:vAlign w:val="bottom"/>
            <w:gridSpan w:val="4"/>
            <w:vMerge w:val="restart"/>
          </w:tcPr>
          <w:p>
            <w:pPr>
              <w:spacing w:after="0" w:line="238" w:lineRule="exact"/>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RUBINSTEIN JULIE</w:t>
              </w:r>
            </w:hyperlink>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Adaptive Biotechnologies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ADPT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gridSpan w:val="4"/>
            <w:vMerge w:val="continue"/>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gridSpan w:val="4"/>
            <w:vMerge w:val="continue"/>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820" w:type="dxa"/>
            <w:vAlign w:val="bottom"/>
            <w:tcBorders>
              <w:bottom w:val="single" w:sz="8" w:color="0000EE"/>
            </w:tcBorders>
            <w:gridSpan w:val="4"/>
            <w:vMerge w:val="continue"/>
          </w:tcPr>
          <w:p>
            <w:pPr>
              <w:spacing w:after="0"/>
              <w:rPr>
                <w:sz w:val="4"/>
                <w:szCs w:val="4"/>
                <w:color w:val="auto"/>
              </w:rPr>
            </w:pPr>
          </w:p>
        </w:tc>
        <w:tc>
          <w:tcPr>
            <w:tcW w:w="62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3"/>
                <w:szCs w:val="13"/>
                <w:color w:val="auto"/>
                <w:w w:val="98"/>
              </w:rPr>
              <w:t>Foreign Trading Symbol</w:t>
            </w: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820" w:type="dxa"/>
            <w:vAlign w:val="bottom"/>
            <w:gridSpan w:val="4"/>
          </w:tcPr>
          <w:p>
            <w:pPr>
              <w:spacing w:after="0"/>
              <w:rPr>
                <w:sz w:val="3"/>
                <w:szCs w:val="3"/>
                <w:color w:val="auto"/>
              </w:rPr>
            </w:pPr>
          </w:p>
        </w:tc>
        <w:tc>
          <w:tcPr>
            <w:tcW w:w="62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ind w:left="120"/>
              <w:spacing w:after="0" w:line="135"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4"/>
                <w:szCs w:val="4"/>
                <w:color w:val="auto"/>
              </w:rPr>
            </w:pPr>
          </w:p>
        </w:tc>
        <w:tc>
          <w:tcPr>
            <w:tcW w:w="1480" w:type="dxa"/>
            <w:vAlign w:val="bottom"/>
            <w:gridSpan w:val="4"/>
            <w:vMerge w:val="restart"/>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7"/>
                <w:szCs w:val="17"/>
                <w:color w:val="auto"/>
              </w:rPr>
            </w:pPr>
          </w:p>
        </w:tc>
        <w:tc>
          <w:tcPr>
            <w:tcW w:w="1220" w:type="dxa"/>
            <w:vAlign w:val="bottom"/>
            <w:tcBorders>
              <w:top w:val="single" w:sz="8" w:color="EEEEEE"/>
              <w:bottom w:val="single" w:sz="8" w:color="EEEEEE"/>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Borders>
              <w:top w:val="single" w:sz="8" w:color="EEEE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top w:val="single" w:sz="8" w:color="EEEEEE"/>
            </w:tcBorders>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20" w:type="dxa"/>
            <w:vAlign w:val="bottom"/>
            <w:tcBorders>
              <w:top w:val="single" w:sz="8" w:color="EEEEEE"/>
            </w:tcBorders>
            <w:gridSpan w:val="3"/>
            <w:vMerge w:val="continue"/>
          </w:tcPr>
          <w:p>
            <w:pPr>
              <w:spacing w:after="0"/>
              <w:rPr>
                <w:sz w:val="5"/>
                <w:szCs w:val="5"/>
                <w:color w:val="auto"/>
              </w:rPr>
            </w:pPr>
          </w:p>
        </w:tc>
        <w:tc>
          <w:tcPr>
            <w:tcW w:w="1100" w:type="dxa"/>
            <w:vAlign w:val="bottom"/>
            <w:tcBorders>
              <w:top w:val="single" w:sz="8" w:color="EEEEEE"/>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2C2C2C"/>
            </w:tcBorders>
          </w:tcPr>
          <w:p>
            <w:pPr>
              <w:spacing w:after="0"/>
              <w:rPr>
                <w:sz w:val="5"/>
                <w:szCs w:val="5"/>
                <w:color w:val="auto"/>
              </w:rPr>
            </w:pPr>
          </w:p>
        </w:tc>
        <w:tc>
          <w:tcPr>
            <w:tcW w:w="286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Borders>
              <w:top w:val="single" w:sz="8" w:color="2C2C2C"/>
            </w:tcBorders>
          </w:tcPr>
          <w:p>
            <w:pPr>
              <w:spacing w:after="0"/>
              <w:rPr>
                <w:sz w:val="5"/>
                <w:szCs w:val="5"/>
                <w:color w:val="auto"/>
              </w:rPr>
            </w:pPr>
          </w:p>
        </w:tc>
        <w:tc>
          <w:tcPr>
            <w:tcW w:w="240" w:type="dxa"/>
            <w:vAlign w:val="bottom"/>
            <w:tcBorders>
              <w:top w:val="single" w:sz="8" w:color="2C2C2C"/>
            </w:tcBorders>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gridSpan w:val="4"/>
            <w:vMerge w:val="restart"/>
          </w:tcPr>
          <w:p>
            <w:pPr>
              <w:ind w:left="520"/>
              <w:spacing w:after="0" w:line="174" w:lineRule="exact"/>
              <w:rPr>
                <w:sz w:val="20"/>
                <w:szCs w:val="20"/>
                <w:color w:val="auto"/>
              </w:rPr>
            </w:pPr>
            <w:r>
              <w:rPr>
                <w:rFonts w:ascii="Times New Roman" w:cs="Times New Roman" w:eastAsia="Times New Roman" w:hAnsi="Times New Roman"/>
                <w:sz w:val="17"/>
                <w:szCs w:val="17"/>
                <w:color w:val="0000FF"/>
              </w:rPr>
              <w:t>President and COO</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ADAPTIVE BIOTECHNOLOGIES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continue"/>
          </w:tcPr>
          <w:p>
            <w:pPr>
              <w:spacing w:after="0"/>
              <w:rPr>
                <w:sz w:val="12"/>
                <w:szCs w:val="12"/>
                <w:color w:val="auto"/>
              </w:rPr>
            </w:pPr>
          </w:p>
        </w:tc>
        <w:tc>
          <w:tcPr>
            <w:tcW w:w="1640" w:type="dxa"/>
            <w:vAlign w:val="bottom"/>
            <w:gridSpan w:val="6"/>
            <w:vMerge w:val="restart"/>
          </w:tcPr>
          <w:p>
            <w:pPr>
              <w:ind w:left="260"/>
              <w:spacing w:after="0"/>
              <w:rPr>
                <w:sz w:val="20"/>
                <w:szCs w:val="20"/>
                <w:color w:val="auto"/>
              </w:rPr>
            </w:pPr>
            <w:r>
              <w:rPr>
                <w:rFonts w:ascii="Times New Roman" w:cs="Times New Roman" w:eastAsia="Times New Roman" w:hAnsi="Times New Roman"/>
                <w:sz w:val="17"/>
                <w:szCs w:val="17"/>
                <w:color w:val="0000FF"/>
              </w:rPr>
              <w:t>10/27/2026</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CORPORATION</w:t>
            </w: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4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1165 EASTLAKE AVENUE EAST</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8"/>
            <w:vMerge w:val="restart"/>
          </w:tcPr>
          <w:p>
            <w:pPr>
              <w:jc w:val="center"/>
              <w:ind w:right="193"/>
              <w:spacing w:after="0"/>
              <w:rPr>
                <w:sz w:val="20"/>
                <w:szCs w:val="20"/>
                <w:color w:val="auto"/>
              </w:rPr>
            </w:pPr>
            <w:r>
              <w:rPr>
                <w:rFonts w:ascii="Arial" w:cs="Arial" w:eastAsia="Arial" w:hAnsi="Arial"/>
                <w:sz w:val="13"/>
                <w:szCs w:val="13"/>
                <w:color w:val="auto"/>
                <w:w w:val="98"/>
              </w:rPr>
              <w:t>4. If Amendment, Date of Original Filed (Month/Day/Year)</w:t>
            </w:r>
          </w:p>
        </w:tc>
        <w:tc>
          <w:tcPr>
            <w:tcW w:w="240" w:type="dxa"/>
            <w:vAlign w:val="bottom"/>
          </w:tcPr>
          <w:p>
            <w:pPr>
              <w:spacing w:after="0"/>
              <w:rPr>
                <w:sz w:val="9"/>
                <w:szCs w:val="9"/>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240" w:type="dxa"/>
            <w:vAlign w:val="bottom"/>
          </w:tcPr>
          <w:p>
            <w:pPr>
              <w:spacing w:after="0"/>
              <w:rPr>
                <w:sz w:val="5"/>
                <w:szCs w:val="5"/>
                <w:color w:val="auto"/>
              </w:rPr>
            </w:pPr>
          </w:p>
        </w:tc>
        <w:tc>
          <w:tcPr>
            <w:tcW w:w="34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7"/>
                <w:szCs w:val="17"/>
                <w:color w:val="0000FF"/>
              </w:rPr>
              <w:t>SEATTLE</w:t>
            </w:r>
          </w:p>
        </w:tc>
        <w:tc>
          <w:tcPr>
            <w:tcW w:w="122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WA</w:t>
            </w: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98109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6780" w:type="dxa"/>
            <w:vAlign w:val="bottom"/>
            <w:tcBorders>
              <w:top w:val="single" w:sz="8" w:color="2C2C2C"/>
            </w:tcBorders>
            <w:gridSpan w:val="18"/>
          </w:tcPr>
          <w:p>
            <w:pPr>
              <w:ind w:left="3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6"/>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5"/>
          </w:tcPr>
          <w:p>
            <w:pPr>
              <w:jc w:val="center"/>
              <w:ind w:left="50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8"/>
              <w:spacing w:after="0"/>
              <w:rPr>
                <w:sz w:val="20"/>
                <w:szCs w:val="20"/>
                <w:color w:val="auto"/>
              </w:rPr>
            </w:pPr>
            <w:r>
              <w:rPr>
                <w:rFonts w:ascii="Times New Roman" w:cs="Times New Roman" w:eastAsia="Times New Roman" w:hAnsi="Times New Roman"/>
                <w:sz w:val="17"/>
                <w:szCs w:val="17"/>
                <w:color w:val="0000FF"/>
                <w:w w:val="98"/>
              </w:rPr>
              <w:t>10/27/2026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gridSpan w:val="2"/>
          </w:tcPr>
          <w:p>
            <w:pPr>
              <w:jc w:val="center"/>
              <w:ind w:left="88"/>
              <w:spacing w:after="0"/>
              <w:rPr>
                <w:sz w:val="20"/>
                <w:szCs w:val="20"/>
                <w:color w:val="auto"/>
              </w:rPr>
            </w:pPr>
            <w:r>
              <w:rPr>
                <w:rFonts w:ascii="Times New Roman" w:cs="Times New Roman" w:eastAsia="Times New Roman" w:hAnsi="Times New Roman"/>
                <w:sz w:val="17"/>
                <w:szCs w:val="17"/>
                <w:color w:val="0000FF"/>
                <w:w w:val="98"/>
              </w:rPr>
              <w:t>11,881</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12.14</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389,683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8"/>
              <w:spacing w:after="0"/>
              <w:rPr>
                <w:sz w:val="20"/>
                <w:szCs w:val="20"/>
                <w:color w:val="auto"/>
              </w:rPr>
            </w:pPr>
            <w:r>
              <w:rPr>
                <w:rFonts w:ascii="Times New Roman" w:cs="Times New Roman" w:eastAsia="Times New Roman" w:hAnsi="Times New Roman"/>
                <w:sz w:val="17"/>
                <w:szCs w:val="17"/>
                <w:color w:val="0000FF"/>
                <w:w w:val="98"/>
              </w:rPr>
              <w:t>10/27/2026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8"/>
              <w:spacing w:after="0"/>
              <w:rPr>
                <w:sz w:val="20"/>
                <w:szCs w:val="20"/>
                <w:color w:val="auto"/>
              </w:rPr>
            </w:pPr>
            <w:r>
              <w:rPr>
                <w:rFonts w:ascii="Times New Roman" w:cs="Times New Roman" w:eastAsia="Times New Roman" w:hAnsi="Times New Roman"/>
                <w:sz w:val="17"/>
                <w:szCs w:val="17"/>
                <w:color w:val="0000FF"/>
                <w:w w:val="99"/>
              </w:rPr>
              <w:t>3,000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26.58</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386,683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8"/>
              <w:spacing w:after="0"/>
              <w:rPr>
                <w:sz w:val="20"/>
                <w:szCs w:val="20"/>
                <w:color w:val="auto"/>
              </w:rPr>
            </w:pPr>
            <w:r>
              <w:rPr>
                <w:rFonts w:ascii="Times New Roman" w:cs="Times New Roman" w:eastAsia="Times New Roman" w:hAnsi="Times New Roman"/>
                <w:sz w:val="17"/>
                <w:szCs w:val="17"/>
                <w:color w:val="0000FF"/>
                <w:w w:val="98"/>
              </w:rPr>
              <w:t>10/27/2026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8"/>
              <w:spacing w:after="0"/>
              <w:rPr>
                <w:sz w:val="20"/>
                <w:szCs w:val="20"/>
                <w:color w:val="auto"/>
              </w:rPr>
            </w:pPr>
            <w:r>
              <w:rPr>
                <w:rFonts w:ascii="Times New Roman" w:cs="Times New Roman" w:eastAsia="Times New Roman" w:hAnsi="Times New Roman"/>
                <w:sz w:val="17"/>
                <w:szCs w:val="17"/>
                <w:color w:val="0000FF"/>
                <w:w w:val="99"/>
              </w:rPr>
              <w:t>8,881</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27.53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377,802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8"/>
              <w:spacing w:after="0"/>
              <w:rPr>
                <w:sz w:val="20"/>
                <w:szCs w:val="20"/>
                <w:color w:val="auto"/>
              </w:rPr>
            </w:pPr>
            <w:r>
              <w:rPr>
                <w:rFonts w:ascii="Times New Roman" w:cs="Times New Roman" w:eastAsia="Times New Roman" w:hAnsi="Times New Roman"/>
                <w:sz w:val="17"/>
                <w:szCs w:val="17"/>
                <w:color w:val="0000FF"/>
                <w:w w:val="98"/>
              </w:rPr>
              <w:t>10/28/2026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gridSpan w:val="2"/>
          </w:tcPr>
          <w:p>
            <w:pPr>
              <w:jc w:val="center"/>
              <w:ind w:left="88"/>
              <w:spacing w:after="0"/>
              <w:rPr>
                <w:sz w:val="20"/>
                <w:szCs w:val="20"/>
                <w:color w:val="auto"/>
              </w:rPr>
            </w:pPr>
            <w:r>
              <w:rPr>
                <w:rFonts w:ascii="Times New Roman" w:cs="Times New Roman" w:eastAsia="Times New Roman" w:hAnsi="Times New Roman"/>
                <w:sz w:val="17"/>
                <w:szCs w:val="17"/>
                <w:color w:val="0000FF"/>
                <w:w w:val="98"/>
              </w:rPr>
              <w:t>11,881</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12.14</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389,683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8"/>
              <w:spacing w:after="0"/>
              <w:rPr>
                <w:sz w:val="20"/>
                <w:szCs w:val="20"/>
                <w:color w:val="auto"/>
              </w:rPr>
            </w:pPr>
            <w:r>
              <w:rPr>
                <w:rFonts w:ascii="Times New Roman" w:cs="Times New Roman" w:eastAsia="Times New Roman" w:hAnsi="Times New Roman"/>
                <w:sz w:val="17"/>
                <w:szCs w:val="17"/>
                <w:color w:val="0000FF"/>
                <w:w w:val="98"/>
              </w:rPr>
              <w:t>10/28/2026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8"/>
              <w:spacing w:after="0"/>
              <w:rPr>
                <w:sz w:val="20"/>
                <w:szCs w:val="20"/>
                <w:color w:val="auto"/>
              </w:rPr>
            </w:pPr>
            <w:r>
              <w:rPr>
                <w:rFonts w:ascii="Times New Roman" w:cs="Times New Roman" w:eastAsia="Times New Roman" w:hAnsi="Times New Roman"/>
                <w:sz w:val="17"/>
                <w:szCs w:val="17"/>
                <w:color w:val="0000FF"/>
                <w:w w:val="98"/>
              </w:rPr>
              <w:t>11,681</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28.44</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378,002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8"/>
              <w:spacing w:after="0"/>
              <w:rPr>
                <w:sz w:val="20"/>
                <w:szCs w:val="20"/>
                <w:color w:val="auto"/>
              </w:rPr>
            </w:pPr>
            <w:r>
              <w:rPr>
                <w:rFonts w:ascii="Times New Roman" w:cs="Times New Roman" w:eastAsia="Times New Roman" w:hAnsi="Times New Roman"/>
                <w:sz w:val="17"/>
                <w:szCs w:val="17"/>
                <w:color w:val="0000FF"/>
                <w:w w:val="98"/>
              </w:rPr>
              <w:t>10/28/2026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8"/>
              <w:spacing w:after="0"/>
              <w:rPr>
                <w:sz w:val="20"/>
                <w:szCs w:val="20"/>
                <w:color w:val="auto"/>
              </w:rPr>
            </w:pPr>
            <w:r>
              <w:rPr>
                <w:rFonts w:ascii="Times New Roman" w:cs="Times New Roman" w:eastAsia="Times New Roman" w:hAnsi="Times New Roman"/>
                <w:sz w:val="17"/>
                <w:szCs w:val="17"/>
                <w:color w:val="0000FF"/>
              </w:rPr>
              <w:t>200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28.9</w:t>
            </w:r>
            <w:r>
              <w:rPr>
                <w:rFonts w:ascii="Times New Roman" w:cs="Times New Roman" w:eastAsia="Times New Roman" w:hAnsi="Times New Roman"/>
                <w:sz w:val="21"/>
                <w:szCs w:val="21"/>
                <w:color w:val="008000"/>
                <w:w w:val="89"/>
                <w:vertAlign w:val="superscript"/>
              </w:rPr>
              <w:t>(5)</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377,802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8"/>
              <w:spacing w:after="0"/>
              <w:rPr>
                <w:sz w:val="20"/>
                <w:szCs w:val="20"/>
                <w:color w:val="auto"/>
              </w:rPr>
            </w:pPr>
            <w:r>
              <w:rPr>
                <w:rFonts w:ascii="Times New Roman" w:cs="Times New Roman" w:eastAsia="Times New Roman" w:hAnsi="Times New Roman"/>
                <w:sz w:val="17"/>
                <w:szCs w:val="17"/>
                <w:color w:val="0000FF"/>
                <w:w w:val="98"/>
              </w:rPr>
              <w:t>10/29/2026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gridSpan w:val="2"/>
          </w:tcPr>
          <w:p>
            <w:pPr>
              <w:jc w:val="center"/>
              <w:ind w:left="88"/>
              <w:spacing w:after="0"/>
              <w:rPr>
                <w:sz w:val="20"/>
                <w:szCs w:val="20"/>
                <w:color w:val="auto"/>
              </w:rPr>
            </w:pPr>
            <w:r>
              <w:rPr>
                <w:rFonts w:ascii="Times New Roman" w:cs="Times New Roman" w:eastAsia="Times New Roman" w:hAnsi="Times New Roman"/>
                <w:sz w:val="17"/>
                <w:szCs w:val="17"/>
                <w:color w:val="0000FF"/>
                <w:w w:val="98"/>
              </w:rPr>
              <w:t>11,881</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12.14</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389,683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528"/>
              <w:spacing w:after="0"/>
              <w:rPr>
                <w:sz w:val="20"/>
                <w:szCs w:val="20"/>
                <w:color w:val="auto"/>
              </w:rPr>
            </w:pPr>
            <w:r>
              <w:rPr>
                <w:rFonts w:ascii="Times New Roman" w:cs="Times New Roman" w:eastAsia="Times New Roman" w:hAnsi="Times New Roman"/>
                <w:sz w:val="17"/>
                <w:szCs w:val="17"/>
                <w:color w:val="0000FF"/>
                <w:w w:val="98"/>
              </w:rPr>
              <w:t>10/29/2026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gridSpan w:val="2"/>
          </w:tcPr>
          <w:p>
            <w:pPr>
              <w:jc w:val="center"/>
              <w:ind w:left="88"/>
              <w:spacing w:after="0"/>
              <w:rPr>
                <w:sz w:val="20"/>
                <w:szCs w:val="20"/>
                <w:color w:val="auto"/>
              </w:rPr>
            </w:pPr>
            <w:r>
              <w:rPr>
                <w:rFonts w:ascii="Times New Roman" w:cs="Times New Roman" w:eastAsia="Times New Roman" w:hAnsi="Times New Roman"/>
                <w:sz w:val="17"/>
                <w:szCs w:val="17"/>
                <w:color w:val="0000FF"/>
                <w:w w:val="98"/>
              </w:rPr>
              <w:t>11,881</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28.27</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377,802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780" w:type="dxa"/>
            <w:vAlign w:val="bottom"/>
            <w:tcBorders>
              <w:top w:val="single" w:sz="8" w:color="2C2C2C"/>
            </w:tcBorders>
            <w:gridSpan w:val="18"/>
          </w:tcPr>
          <w:p>
            <w:pPr>
              <w:jc w:val="center"/>
              <w:ind w:left="33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15"/>
          </w:tcPr>
          <w:p>
            <w:pPr>
              <w:jc w:val="center"/>
              <w:ind w:left="42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12.14</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10/27/2026</w:t>
            </w:r>
          </w:p>
        </w:tc>
        <w:tc>
          <w:tcPr>
            <w:tcW w:w="1100" w:type="dxa"/>
            <w:vAlign w:val="bottom"/>
          </w:tcPr>
          <w:p>
            <w:pPr>
              <w:spacing w:after="0"/>
              <w:rPr>
                <w:sz w:val="16"/>
                <w:szCs w:val="16"/>
                <w:color w:val="auto"/>
              </w:rPr>
            </w:pPr>
          </w:p>
        </w:tc>
        <w:tc>
          <w:tcPr>
            <w:tcW w:w="62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11,881</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03/04/2032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11,881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154,038</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jc w:val="right"/>
              <w:ind w:right="153"/>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12.14</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10/28/2026</w:t>
            </w:r>
          </w:p>
        </w:tc>
        <w:tc>
          <w:tcPr>
            <w:tcW w:w="1100" w:type="dxa"/>
            <w:vAlign w:val="bottom"/>
          </w:tcPr>
          <w:p>
            <w:pPr>
              <w:spacing w:after="0"/>
              <w:rPr>
                <w:sz w:val="16"/>
                <w:szCs w:val="16"/>
                <w:color w:val="auto"/>
              </w:rPr>
            </w:pPr>
          </w:p>
        </w:tc>
        <w:tc>
          <w:tcPr>
            <w:tcW w:w="62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11,881</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03/04/2032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11,881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142,157</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jc w:val="right"/>
              <w:ind w:right="153"/>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12.14</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10/29/2026</w:t>
            </w:r>
          </w:p>
        </w:tc>
        <w:tc>
          <w:tcPr>
            <w:tcW w:w="1100" w:type="dxa"/>
            <w:vAlign w:val="bottom"/>
          </w:tcPr>
          <w:p>
            <w:pPr>
              <w:spacing w:after="0"/>
              <w:rPr>
                <w:sz w:val="16"/>
                <w:szCs w:val="16"/>
                <w:color w:val="auto"/>
              </w:rPr>
            </w:pPr>
          </w:p>
        </w:tc>
        <w:tc>
          <w:tcPr>
            <w:tcW w:w="620" w:type="dxa"/>
            <w:vAlign w:val="bottom"/>
            <w:gridSpan w:val="4"/>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11,881</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03/04/2032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11,881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130,276</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ind w:right="153"/>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the reporting person on November 18, 2025.</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 average price. These shares were sold in multiple transactions at prices ranging from $26.04 to $27.02,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pacing w:after="0" w:line="26"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 average price. These shares were sold in multiple transactions at prices ranging from $27.07 to $27.98,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pacing w:after="0" w:line="26"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 average price. These shares were sold in multiple transactions at prices ranging from $27.85 to $28.84,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ectPr>
          <w:pgSz w:w="11900" w:h="16838" w:orient="portrait"/>
          <w:cols w:equalWidth="0" w:num="1">
            <w:col w:w="11080"/>
          </w:cols>
          <w:pgMar w:left="460" w:top="217" w:right="359" w:bottom="0" w:gutter="0" w:footer="0" w:header="0"/>
          <w:type w:val="continuous"/>
        </w:sectPr>
      </w:pPr>
    </w:p>
    <w:bookmarkStart w:id="1" w:name="page2"/>
    <w:bookmarkEnd w:id="1"/>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 average price. These shares were sold in multiple transactions at prices ranging from $28.88 to $28.92,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pacing w:after="0" w:line="26"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 average price. These shares were sold in multiple transactions at prices ranging from $27.92 to $28.73,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pacing w:after="0" w:line="2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5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Julie Rubinstein by Kyle</w:t>
            </w:r>
          </w:p>
        </w:tc>
        <w:tc>
          <w:tcPr>
            <w:tcW w:w="3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10/29/2026</w:t>
            </w:r>
          </w:p>
        </w:tc>
        <w:tc>
          <w:tcPr>
            <w:tcW w:w="0" w:type="dxa"/>
            <w:vAlign w:val="bottom"/>
          </w:tcPr>
          <w:p>
            <w:pPr>
              <w:spacing w:after="0"/>
              <w:rPr>
                <w:sz w:val="1"/>
                <w:szCs w:val="1"/>
                <w:color w:val="auto"/>
              </w:rPr>
            </w:pPr>
          </w:p>
        </w:tc>
      </w:tr>
      <w:tr>
        <w:trPr>
          <w:trHeight w:val="88"/>
        </w:trPr>
        <w:tc>
          <w:tcPr>
            <w:tcW w:w="16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Piskel, Attorney-in-Fact</w:t>
            </w:r>
          </w:p>
        </w:tc>
        <w:tc>
          <w:tcPr>
            <w:tcW w:w="5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20" w:type="dxa"/>
            <w:vAlign w:val="bottom"/>
            <w:tcBorders>
              <w:bottom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0664" TargetMode="External"/><Relationship Id="rId14" Type="http://schemas.openxmlformats.org/officeDocument/2006/relationships/hyperlink" Target="http://www.sec.gov/cgi-bin/browse-edgar?action=getcompany&amp;CIK=0001478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2026-10-29T18:53:21Z</dcterms:created>
  <dcterms:modified xsi:type="dcterms:W3CDTF">2026-10-29T18:53:21Z</dcterms:modified>
</cp:coreProperties>
</file>