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 CHAD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321,324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2,501,842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318,799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2,183,043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2,180,518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278,676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2,459,194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278,472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24.48</w:t>
            </w:r>
            <w:r>
              <w:rPr>
                <w:rFonts w:ascii="Times;serif" w:hAnsi="Times;serif"/>
                <w:color w:val="008000"/>
                <w:position w:val="7"/>
                <w:sz w:val="16"/>
                <w:sz w:val="20"/>
                <w:shd w:fill="FFFFFF" w:val="clear"/>
              </w:rPr>
              <w:t>(3)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2,180,722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w:t>
            </w:r>
            <w:r>
              <w:rPr>
                <w:rFonts w:ascii="Times;serif" w:hAnsi="Times;serif"/>
                <w:color w:val="008000"/>
                <w:position w:val="7"/>
                <w:sz w:val="16"/>
                <w:sz w:val="20"/>
                <w:shd w:fill="FFFFFF" w:val="clear"/>
              </w:rPr>
              <w:t>(4)</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2,180,518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321,324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321,324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278,676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278,676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for this transaction is a weighted average price. These shares were sold in multiple transactions at prices ranging from $24.51 to $25.50,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$25.52 to $25.64,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$24.12 to $25.12,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all at $25.14.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was fully vested and exercisable and would have expired on February 7,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Chad M. Robins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649"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5351</Characters>
  <CharactersWithSpaces>6192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