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0001780660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360"/>
        <w:spacing w:after="0" w:line="281" w:lineRule="auto"/>
        <w:rPr>
          <w:sz w:val="20"/>
          <w:szCs w:val="20"/>
          <w:color w:val="auto"/>
        </w:rPr>
      </w:pPr>
      <w:r>
        <w:rPr>
          <w:rFonts w:ascii="Times New Roman" w:cs="Times New Roman" w:eastAsia="Times New Roman" w:hAnsi="Times New Roman"/>
          <w:sz w:val="22"/>
          <w:szCs w:val="22"/>
          <w:color w:val="auto"/>
        </w:rPr>
        <w:t>ADAPTIVE BIOTECHNOLOGIES CORPORATION 001-38957</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1165 Eastlake Avenue East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2066590067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FRANCIS LO</w:t>
      </w:r>
    </w:p>
    <w:p>
      <w:pPr>
        <w:spacing w:after="0" w:line="44" w:lineRule="exact"/>
        <w:rPr>
          <w:sz w:val="24"/>
          <w:szCs w:val="24"/>
          <w:color w:val="auto"/>
        </w:rPr>
      </w:pPr>
    </w:p>
    <w:p>
      <w:pPr>
        <w:sectPr>
          <w:pgSz w:w="11900" w:h="16838" w:orient="portrait"/>
          <w:cols w:equalWidth="0" w:num="2">
            <w:col w:w="5740" w:space="420"/>
            <w:col w:w="50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199260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4274127.00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160044392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07/01/2026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179039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03/04/2025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20221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03/04/2025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FRANCIS LO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1165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06/04/2026 39741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695070.09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FRANCIS LO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1165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04/08/2026 22564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339941.67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 The securities to be sold were acquired upon the vesting of restricted stock units during the period of 03/04/2025 through 03/04/2026.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07/01/2026</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09/15/2025</w:t>
      </w:r>
    </w:p>
    <w:p>
      <w:pPr>
        <w:spacing w:after="0" w:line="855" w:lineRule="exact"/>
        <w:rPr>
          <w:sz w:val="20"/>
          <w:szCs w:val="20"/>
          <w:color w:val="auto"/>
        </w:rPr>
      </w:pPr>
    </w:p>
    <w:p>
      <w:pPr>
        <w:sectPr>
          <w:pgSz w:w="11900" w:h="16838" w:orient="portrait"/>
          <w:cols w:equalWidth="0" w:num="2">
            <w:col w:w="2000" w:space="140"/>
            <w:col w:w="9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Francis Lo</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2026-07-01T15:43:38Z</dcterms:created>
  <dcterms:modified xsi:type="dcterms:W3CDTF">2026-07-01T15:43:38Z</dcterms:modified>
</cp:coreProperties>
</file>