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ADAPTIVE BIOTECHNOLOGIES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70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001-38957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27-0907024</w:t>
            </w:r>
          </w:p>
        </w:tc>
      </w:tr>
      <w:tr>
        <w:trPr>
          <w:trHeight w:val="149"/>
        </w:trPr>
        <w:tc>
          <w:tcPr>
            <w:tcW w:w="370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70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1665 Eastlake Avenue East, Suite 200,</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0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8"/>
              </w:rPr>
              <w:t>Seattle, Washington</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98102</w:t>
            </w:r>
          </w:p>
        </w:tc>
      </w:tr>
      <w:tr>
        <w:trPr>
          <w:trHeight w:val="190"/>
        </w:trPr>
        <w:tc>
          <w:tcPr>
            <w:tcW w:w="37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659-0067</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ADPT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 Convertible Senior Notes due 2031</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22, 2026, Adaptive Biotechnologies Corporation (the “Company”) issued $345 million in aggregate principal amount of 0% Convertible Senior Notes due 2031 (the “Notes”). The Notes issued include the full exercise by the initial purchasers on June 17, 2026 of their option to purchase an additional $45 million in aggregate principal amount of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net proceeds from this offering were approximately $334.5 million, after deducting the initial purchasers’ discounts and commissions and the Company’s estimated offering expenses. The Company used approximately $25.6 million of the net proceeds from the offering to pay the cost of the capped call transactions described below. The Company used approximately $25.0 million of the net proceeds from the offering to repurchase 1,451,800 shares of common stock in privately negotiated transactions through one of the initial purchasers or its affiliate. The Company used</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$156.9 million the net proceeds from the offering for the repayment of the OrbiMed Purchase Agreement (as described below). The remainder of the net proceeds from the offering will be held for general corporate purposes and opportunistic initiatives in the MRD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issued the Notes pursuant to an indenture (the “Indenture”), dated as of June 22, 2026, between the Company and U.S. Bank Trust Company, National Association, as trustee (the “Trustee”).</w:t>
      </w:r>
    </w:p>
    <w:p>
      <w:pPr>
        <w:spacing w:after="0" w:line="16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Notes will mature on July 1, 2031, unless earlier converted, redeemed or repurchased. The Notes will not bear regular interest, and the principal amount of the Notes will not accrete. The Notes are the Company’s senior, unsecured obligations and are (i) equal in right of payment with the Company’s existing and future senior, unsecured indebtedness; (ii) senior in right of payment to the Company’s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of the Company’s subsidiaries.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Before the close of business on the business day immediately before April 1, 2031, noteholders will have the right to convert their Notes only upon the occurrence of certain events. From and including April 1, 2031,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41.4800 shares of common stock per $1,000 principal amount of Notes, which represents an initial conversion price of approximately $24.11 per share of common stock. The initial conversion price represents a premium of approximately 40.0% over the last reported sale price of $17.22 per share of the Company’s common stock on June 16, 2026. The conversion rate and conversion price will be subject to adjustment upon the occurrence of certain events.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for cash at the Company’s option at any time, and from time to time, on or after July 1, 2029 and on or before the 40th scheduled trading day immediately before the maturity date, but only if the last reported sale price per share of the Company’s common stock exceeds 130% of the conversion price for a specified period of time and certain other conditions are satisfied. In addition, the Notes will be redeemable, in whole and not in part, at the Company’s option at any time, if the aggregate principal amount of the Notes that remain outstanding is less than 15% of the aggregate principal amount of Notes initially issued under the Indenture and certain other conditions are satisfied. The redemption price will be equal to the principal amount of the Notes to be redeemed, plus accrued and unpaid special interest and additional interest, if any, to, but excluding, the redemption date.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then, subject to a limited exception, noteholders may require the Company to repurchase their Notes for cash. The repurchase price will be equal to the principal amount of the Notes to be repurchased, plus accrued and unpaid special interest and additional interest, if any, to, but excluding, the applicable repurchase date. The definition of Fundamental Change includes certain business combination transactions involving the Company and certain de-listing events with respect to the common stock.</w:t>
      </w:r>
    </w:p>
    <w:p>
      <w:pPr>
        <w:sectPr>
          <w:pgSz w:w="11900" w:h="16838" w:orient="portrait"/>
          <w:cols w:equalWidth="0" w:num="1">
            <w:col w:w="11000"/>
          </w:cols>
          <w:pgMar w:left="440" w:top="293"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Indenture contains customary provisions relating to the occurrence of an “Event of Default” (as defined in the Indenture), which include the following: (i) certain payment defaults on the Notes (which, in the case of a default in the payment of special interest or additional interest on the Notes, will be subject to a 30-day cure period); (ii) the Company’s failure to send certain notices under the Indenture within specified periods of time; (iii) a default in the Company’s obligation to convert a Note upon the exercise of the conversion right with respect thereto, if such default is not cured within three business days after its occurrence;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agreements under the Indenture or the Notes if such default is not cured or waived within 60 days after notice is given in accordance with the Indenture; (vi) certain defaults by the Company or any of its significant subsidiaries with respect to indebtedness for money borrowed of at least $50,000,000; and (vii) certain events of bankruptcy, insolvency and reorganization involving the Company or any of its significant subsidiaries.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with respect to the Company (and not solely with respect to a significant subsidiary of the Company) occurs, then the principal amount of, and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aggregate principal amount of the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additional interest on the Notes during the first 180 days after the occurrence of such Event of Default at a rate per annum equal to 0.25% on the principal amount of the Notes and, thereafter, at a rate per annum equal to 0.50% on the principal amount of the Notes.</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 and the Notes is a summary and is not complete. A copy of the Indenture and the form of the Notes are filed as Exhibits 4.1 and 4.2, respectively, to this Current Report on Form 8-K, and the above summary is qualified by reference to the terms of the Indenture and the Notes set forth in such exhibits.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16, 2026, in connection with the pricing of the Notes, the Company entered into privately negotiated capped call transactions (the “Base Capped Call Transactions”) with certain of the initial purchasers or their affiliates and certain other financial institutions (the “Option Counterparties”). In addition, on June 17, 2026, in connection with the initial purchasers’ exercise in full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are generally expected to reduce the potential dilution to the Company’s common stock upon any conversion of the Notes and/or offset any potential cash payments the Company is required to make in excess of the principal amount of converted Notes, as the case may be, with such reduction and/or offset subject to a cap. The cap price of the Capped Call Transactions is initially $34.44 per share of the Company’s common stock, representing a premium of 100% over the last reported sale price of the Company’s common stock of $17.22 per share on June 16, 2026.</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entered into by the Company with the Option Counterparties, are not part of the terms of the Notes and will not change the noteholders’ rights. Noteholders will not have any rights with respect to the Capped Call Transactions.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description of the Capped Call Transactions above is qualified in its entirety by reference to the full text of the form of the capped call confirmation relating to the Capped Call Transactions, which is filed as Exhibit 10.1 to this Current Report on Form 8-K and is incorporated by reference into this Item 1.01.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OrbiMed Waiver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1.02 below is incorporated by reference into this Item 1.01.</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Material Definitive Agreement</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June 22, 2026, the Company used $156.9 million of proceeds from the Notes offering to repurchase all Revenue Interests (as defined below) and repay in full all of its obligations under the revenue interest purchase agreement (the</w:t>
      </w:r>
    </w:p>
    <w:p>
      <w:pPr>
        <w:sectPr>
          <w:pgSz w:w="11900" w:h="16838" w:orient="portrait"/>
          <w:cols w:equalWidth="0" w:num="1">
            <w:col w:w="11000"/>
          </w:cols>
          <w:pgMar w:left="440" w:top="297" w:right="459" w:bottom="1440" w:gutter="0" w:footer="0" w:header="0"/>
        </w:sectPr>
      </w:pPr>
    </w:p>
    <w:bookmarkStart w:id="3" w:name="page4"/>
    <w:bookmarkEnd w:id="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“OrbiMed Purchase Agreement”), dated September 12, 2022, with OrbiMed Royalty &amp; Credit Opportunities IV, LP (“OrbiMed”), an affiliate of OrbiMed Advisors LLC, as collateral agent and administrative agent for the purchasers party thereto (the “Purchasers”). Pursuant to the OrbiMed Purchase Agreement, the Company had received $124.4 million from the Purchasers (the “Purchaser Payment”), net of expenses. As consideration for such payments, the Purchasers had the right to receive certain revenue interest payments from the Company each quarter based on a current rate of five percent of all GAAP revenue, subject to adjustment in September 2028 as provided in the OrbiMed Purchase Agreement (the “Revenue Interests”). OrbiMed was entitled to 100% of the revenue interest payments until it received a total cumulative value of 165% of the Purchaser Payment (the “Return Cap”), unless full repayment of the amount of the Return Cap has not been made by September 12, 2032, in which case the Return Cap shall be increased to 175% of the Purchaser Payment.</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Notes offering, on June 15, 2026, OrbiMed and the Company entered into a Waiver Agreement (the “Waiver Agreement”), pursuant to which OrbiMed waived various covenants in the OrbiMed Purchase Agreement that otherwise would have restricted the Company’s ability to conduct the offering, conditioned on the Company repaying the Purchaser Payment at a Return Cap of 156%, which resulted in a payoff amount of $156.9 million, pursuant to customary payoff documentation.</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description of the Waiver Agreement is qualified in its entirety by reference to the full text of the Waiver Agreement, which is filed as Exhibit 10.2 to this Current Report on Form 8-K and is incorporated by reference into this Item 1.02.</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3.02. The Notes were issued to the initial purchasers in reliance upon Section 4(a)(2) of the Securities Act of 1933, as amended (the “Securities Act”), in transactions not involving any public offering. The Notes were resold by the initial purchasers to persons reasonably believed to be “qualified institutional buyers,” as defined in, and in accordance with, Rule 144A under the Securities Act. Any shares of common stock that may be issued upon conversion of the Notes will be issued in reliance upon Section 3(a)(9) of the Securities Act as involving an exchange by the Company with its security holders where no commission or other remuneration is expected to be paid in connection with conversion of the Notes and any resulting issuance of shares of common stock. Initially, a maximum of 20,034,840 shares of the Company’s common stock may be issued upon conversion of the Notes, based on the initial maximum conversion rate of 58.0720 shares of common stock per $1,000 principal amount of Notes, which is subject to customary anti-dilution adjustment provisions.</w:t>
      </w:r>
    </w:p>
    <w:p>
      <w:pPr>
        <w:spacing w:after="0" w:line="192"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Neither the Notes nor the underlying common stock (if conversions of the Notes are settled through delivery of common stock) have been registered under the Securities Act or may be offered or sold in the United States absent registration or an applicable exemption from registration requirements.</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17, 2026, the Company issued a press release announcing the pricing of the Notes. A copy of the press release is attached hereto as Exhibit 99.1 to this Current Report on Form 8-K and incorporated herein by reference.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press release constitutes an offer to sell, or the solicitation of an offer to buy, the Notes or any shares of common stock issuable upon conversion of the Notes.</w:t>
      </w:r>
    </w:p>
    <w:p>
      <w:pPr>
        <w:sectPr>
          <w:pgSz w:w="11900" w:h="16838" w:orient="portrait"/>
          <w:cols w:equalWidth="0" w:num="1">
            <w:col w:w="11000"/>
          </w:cols>
          <w:pgMar w:left="440" w:top="297"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40" w:type="dxa"/>
            <w:vAlign w:val="bottom"/>
            <w:gridSpan w:val="5"/>
          </w:tcPr>
          <w:p>
            <w:pPr>
              <w:ind w:left="208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Indenture, dated as of June 22, 2026, between Adaptive Biotechnologies Corporation and U.S. Bank Trust Company, National</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Association, as Trustee</w:t>
            </w:r>
          </w:p>
        </w:tc>
        <w:tc>
          <w:tcPr>
            <w:tcW w:w="900" w:type="dxa"/>
            <w:vAlign w:val="bottom"/>
            <w:gridSpan w:val="2"/>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0% Convertible Senior Notes due 2031 (included as Exhibit A to Exhibit 4.1)</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Capped Call Confirmation</w:t>
            </w:r>
          </w:p>
        </w:tc>
        <w:tc>
          <w:tcPr>
            <w:tcW w:w="3660" w:type="dxa"/>
            <w:vAlign w:val="bottom"/>
            <w:tcBorders>
              <w:top w:val="single" w:sz="8" w:color="0000EE"/>
            </w:tcBorders>
          </w:tcPr>
          <w:p>
            <w:pPr>
              <w:spacing w:after="0"/>
              <w:rPr>
                <w:sz w:val="24"/>
                <w:szCs w:val="24"/>
                <w:color w:val="auto"/>
              </w:rPr>
            </w:pPr>
          </w:p>
        </w:tc>
        <w:tc>
          <w:tcPr>
            <w:tcW w:w="3780" w:type="dxa"/>
            <w:vAlign w:val="bottom"/>
            <w:gridSpan w:val="4"/>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Waiver Agreement, dated as of June 15, 2026, among Adaptive Biotechnologies Corporation, OrbiMed Royalty &amp; Credit Opportunities</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IV, LP, OrbiMed Royalty &amp; Credit Opportunities III, LP and OrbiMed Royalty &amp; Credit Opportunities IV Offshore, LP</w:t>
            </w:r>
          </w:p>
        </w:tc>
        <w:tc>
          <w:tcPr>
            <w:tcW w:w="116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Press Release dated June 17, 2026</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Kyle Piskel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Kyle Piskel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0%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58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0"/>
                <w:szCs w:val="20"/>
                <w:color w:val="auto"/>
              </w:rPr>
            </w:pPr>
          </w:p>
        </w:tc>
      </w:tr>
      <w:tr>
        <w:trPr>
          <w:trHeight w:val="441"/>
        </w:trPr>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4"/>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 Definitions; Rules of Construction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1.01.</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1.02.</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1.03.</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of Construction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8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2.01.</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Dating and Denominations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2.02.</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Execution, Authentication and Delivery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2.03.</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Initial Notes and Additional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2.04.</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 of Payment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2.05.</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Regular Interest; Accrual and Payment of Special Interest and Additional Interest; Defaulted Amounts; When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Date is Not a Business Day</w:t>
            </w:r>
          </w:p>
        </w:tc>
        <w:tc>
          <w:tcPr>
            <w:tcW w:w="740" w:type="dxa"/>
            <w:vAlign w:val="bottom"/>
          </w:tcPr>
          <w:p>
            <w:pPr>
              <w:spacing w:after="0"/>
              <w:rPr>
                <w:sz w:val="18"/>
                <w:szCs w:val="18"/>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2.06.</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Registrar, Paying Agent and Conversion Agent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2.07.</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 and Conversion Agent to Hold Property in Trust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2.08.</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Holder Lists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2.09.</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Legends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2.10.</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Transfers and Exchanges; Certain Transfer Restrictions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2.11.</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and Cancellation of Notes to Be Converted or to Be Repurchased Pursuant to a Repurchase Upon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Fundamental Change or Redemption</w:t>
            </w:r>
          </w:p>
        </w:tc>
        <w:tc>
          <w:tcPr>
            <w:tcW w:w="740" w:type="dxa"/>
            <w:vAlign w:val="bottom"/>
          </w:tcPr>
          <w:p>
            <w:pPr>
              <w:spacing w:after="0"/>
              <w:rPr>
                <w:sz w:val="18"/>
                <w:szCs w:val="18"/>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2.12.</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Removal of Transfer Restrictions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2.13.</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2.14.</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Registered Holders; Certain Rights with Respect to Global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2.15.</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2.16.</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Held by the Company or its Affiliates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2.17.</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Temporary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2.18.</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2.19.</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Repurchases by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2.20.</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and ISIN Numbers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Covenants</w:t>
            </w:r>
          </w:p>
        </w:tc>
        <w:tc>
          <w:tcPr>
            <w:tcW w:w="8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3.01.</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on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3.02.</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Act Reports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3.03.</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 144A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3.04.</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Interest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3.05.</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and Default Certificates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3.06.</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3.07.</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of Notes by the Company and its Affiliates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3.08.</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Existence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Article 4. Repurchase and Redemption</w:t>
      </w:r>
    </w:p>
    <w:p>
      <w:pPr>
        <w:spacing w:after="0" w:line="27"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color w:val="auto"/>
        </w:rPr>
        <w:t>34</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860"/>
          </w:cols>
          <w:pgMar w:left="540" w:top="26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4.01.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Sinking Fund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4.02.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Holders to Require the Company to Repurchase Notes Upon a Fundamental Change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4.03.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the Company to Redeem the Notes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5. The Conversion of Notes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Convert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 Upon Conversion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5.04.</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 and Status of Common Stock Issued Upon Conversion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5.05.</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the Conversion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5.06.</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Voluntary Adjustments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5.07.</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the Conversion Rate in Connection with a Make-Whole Fundamental Change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5.08.</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Exchange in Lieu of Conversion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5.09.</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Common Stock Change Event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3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Successors</w:t>
            </w:r>
          </w:p>
        </w:tc>
        <w:tc>
          <w:tcPr>
            <w:tcW w:w="8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6.01.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the Company May Merge, Etc.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6.02.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6.03.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Exclusion for Asset Transfers with Wholly Owned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2"/>
        </w:trPr>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7. Defaults and Remedies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Acceleration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Remedy for a Failure to Report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7.04.</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Remedies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7.05.</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Past Defaults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7.06.</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Cure of Defaults; Ability to Cure or Waive Before Event of Default Occurs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7.07.</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 by Majority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7.08.</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Suits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7.09.</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Absolute Right of Holders to Institute Suit for the Enforcement of the Right to Receive Payment and Conversion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Consideration</w:t>
            </w:r>
          </w:p>
        </w:tc>
        <w:tc>
          <w:tcPr>
            <w:tcW w:w="680" w:type="dxa"/>
            <w:vAlign w:val="bottom"/>
          </w:tcPr>
          <w:p>
            <w:pPr>
              <w:spacing w:after="0"/>
              <w:rPr>
                <w:sz w:val="18"/>
                <w:szCs w:val="18"/>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7.10.</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Priorities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Undertaking for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8.01.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Without the Consent of Holders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8.02.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the Consent of Holders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8.03.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Amendments, Supplements and Waivers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8.04.</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Revocation, Effect and Solicitation of Consents; Special Record Dates; Etc.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8.05.</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Notations and Exchanges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8.06.</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to Execute Supplemental Indentures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9. Satisfaction and Discharge</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9.01.</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Company’s Obligations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9.02.</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to Company</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9.03.</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Reinstatement</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79</w:t>
            </w:r>
          </w:p>
        </w:tc>
      </w:tr>
      <w:tr>
        <w:trPr>
          <w:trHeight w:val="432"/>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10. Trustee</w:t>
            </w:r>
          </w:p>
        </w:tc>
        <w:tc>
          <w:tcPr>
            <w:tcW w:w="7640" w:type="dxa"/>
            <w:vAlign w:val="bottom"/>
          </w:tcPr>
          <w:p>
            <w:pPr>
              <w:spacing w:after="0"/>
              <w:rPr>
                <w:sz w:val="24"/>
                <w:szCs w:val="24"/>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10.01.</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Duties of the Trustee</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10.02.</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Rights of the Trustee</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10.03.</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Individual Rights of the Trustee</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10.04.</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Trustee’s Disclaimer</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10.05.</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Defaults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10.06.</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10.07.</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Replacement of the Trustee</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10.08.</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10.09.</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11.01.</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11.02.</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Delivery of Officer’s Certificate and Opinion of Counsel as to Conditions Precedent</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11.03.</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Statements Required in Officer’s Certificate and Opinion of Counsel</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11.04.</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Rules by the Trustee, the Registrar, the Paying Agent and the Conversion Agent</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11.05.</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11.06.</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11.07.</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11.08.</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11.09.</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11.10.</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Force Majeure</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11.11.</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U.S.A. PATRIOT Act</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11.12.</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11.13.</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11.14.</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11.15.</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11.16.</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 Taxes</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90</w:t>
            </w:r>
          </w:p>
        </w:tc>
      </w:tr>
      <w:tr>
        <w:trPr>
          <w:trHeight w:val="391"/>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9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Note</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B-1:</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Restricted Note Legend</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4"/>
              </w:rPr>
              <w:t>B1-1</w:t>
            </w:r>
          </w:p>
        </w:tc>
      </w:tr>
      <w:tr>
        <w:trPr>
          <w:trHeight w:val="216"/>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B-2:</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Global Note Legend</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3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B-3:</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Non-Affiliate Legend</w:t>
            </w:r>
          </w:p>
        </w:tc>
        <w:tc>
          <w:tcPr>
            <w:tcW w:w="17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4"/>
              </w:rPr>
              <w:t>B3-1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920"/>
          </w:cols>
          <w:pgMar w:left="440" w:top="270" w:right="539" w:bottom="1440" w:gutter="0" w:footer="0" w:header="0"/>
        </w:sectPr>
      </w:pPr>
    </w:p>
    <w:bookmarkStart w:id="10" w:name="page11"/>
    <w:bookmarkEnd w:id="1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r>
        <w:rPr>
          <w:rFonts w:ascii="Times New Roman" w:cs="Times New Roman" w:eastAsia="Times New Roman" w:hAnsi="Times New Roman"/>
          <w:sz w:val="18"/>
          <w:szCs w:val="18"/>
          <w:color w:val="auto"/>
        </w:rPr>
        <w:t>, dated as of June 22, 2026, between Adaptive Biotechnologies Corporation, a Washington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Each party to this Indenture (as defined below) agrees as follows for the benefit of the other party and for the equal and ratable benefit of the Holders (as defined below) of the Company’s 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 DEFINITIONS; RULES OF CONSTRUCTION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as in effect on the Issue Date.</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a Note, a principal amount thereof equal to $1,000 or any integral multiple of $1,000 in excess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xml:space="preserve">” means the Person who is required to obtain bids for the Trading Price in accordance with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initial Bid Solicitation Agent on the Issue Date will be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appoint any other Person (including any of the Company’s Subsidiaries) to be the Bid Solicitation Agent at any time after the Issue Date without prior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Cleanup Redemption</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0"/>
          </w:cols>
          <w:pgMar w:left="440" w:top="266" w:right="459" w:bottom="1440" w:gutter="0" w:footer="0" w:header="0"/>
        </w:sectPr>
      </w:pPr>
    </w:p>
    <w:bookmarkStart w:id="11" w:name="page12"/>
    <w:bookmarkEnd w:id="11"/>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the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common stock, $0.0001 par value per share, of the Company, subject to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the Person named as such in the first paragraph of this Indenture and, 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its successors and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on behalf of the Company by one (1) of its Officers and delivered to the Trustee.</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means, with respect to any Note, the conversion of such note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into Conversion Consideration. The terms “Convert,” “Converted,” “Convertible,” “Converting” and similar capitalized terms have meanings correlative to the foregoing.</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with respect to a Note, the first Business Day on which the requirements set forth in </w:t>
      </w:r>
      <w:r>
        <w:rPr>
          <w:rFonts w:ascii="Times New Roman" w:cs="Times New Roman" w:eastAsia="Times New Roman" w:hAnsi="Times New Roman"/>
          <w:sz w:val="18"/>
          <w:szCs w:val="18"/>
          <w:b w:val="1"/>
          <w:bCs w:val="1"/>
          <w:color w:val="auto"/>
        </w:rPr>
        <w:t>Section 5.02(A)</w:t>
      </w:r>
      <w:r>
        <w:rPr>
          <w:rFonts w:ascii="Times New Roman" w:cs="Times New Roman" w:eastAsia="Times New Roman" w:hAnsi="Times New Roman"/>
          <w:sz w:val="18"/>
          <w:szCs w:val="18"/>
          <w:color w:val="auto"/>
        </w:rPr>
        <w:t xml:space="preserve"> to Convert such Note are satisfied, subject to </w:t>
      </w:r>
      <w:r>
        <w:rPr>
          <w:rFonts w:ascii="Times New Roman" w:cs="Times New Roman" w:eastAsia="Times New Roman" w:hAnsi="Times New Roman"/>
          <w:sz w:val="18"/>
          <w:szCs w:val="18"/>
          <w:b w:val="1"/>
          <w:bCs w:val="1"/>
          <w:color w:val="auto"/>
        </w:rPr>
        <w:t>Section 5.03(C)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an amount equal to (A) one thousand dollars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Conversion Rate in effect at such time.</w:t>
      </w:r>
    </w:p>
    <w:p>
      <w:pPr>
        <w:spacing w:after="0" w:line="15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xml:space="preserve">” initially means 41.4800 shares of Common Stock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Conversion Rate is subject to adjustment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w:t>
      </w:r>
      <w:r>
        <w:rPr>
          <w:rFonts w:ascii="Times New Roman" w:cs="Times New Roman" w:eastAsia="Times New Roman" w:hAnsi="Times New Roman"/>
          <w:sz w:val="18"/>
          <w:szCs w:val="18"/>
          <w:color w:val="auto"/>
        </w:rPr>
        <w:t>” means any share of Common Stock issued or issuable upon Conversion of any Note.</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Cash Amount</w:t>
      </w:r>
      <w:r>
        <w:rPr>
          <w:rFonts w:ascii="Times New Roman" w:cs="Times New Roman" w:eastAsia="Times New Roman" w:hAnsi="Times New Roman"/>
          <w:sz w:val="18"/>
          <w:szCs w:val="18"/>
          <w:color w:val="auto"/>
        </w:rPr>
        <w:t>” means, with respect to any VWAP Trading Day, the lesser of (A) the applicable Daily Maximum Cash Amount; and (B) the Daily Conversion Value for such VWAP Trading Day.</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with respect to any VWAP Trading Day, one-fortieth (1/40th) of the product of (A) the Conversion Rate on such VWAP Trading Day; and (B) the Daily VWAP per share of Common Stock on such VWAP Trading Day.</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Maximum Cash Amount</w:t>
      </w:r>
      <w:r>
        <w:rPr>
          <w:rFonts w:ascii="Times New Roman" w:cs="Times New Roman" w:eastAsia="Times New Roman" w:hAnsi="Times New Roman"/>
          <w:sz w:val="18"/>
          <w:szCs w:val="18"/>
          <w:color w:val="auto"/>
        </w:rPr>
        <w:t>” means, with respect to the Conversion of any Note, the quotient obtained by dividing (A) the Specified Dollar Amount applicable to such Conversion by (B) forty (40).</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20"/>
          </w:cols>
          <w:pgMar w:left="440" w:top="266" w:right="539" w:bottom="1440" w:gutter="0" w:footer="0" w:header="0"/>
        </w:sectPr>
      </w:pPr>
    </w:p>
    <w:bookmarkStart w:id="12" w:name="page13"/>
    <w:bookmarkEnd w:id="12"/>
    <w:p>
      <w:pPr>
        <w:jc w:val="both"/>
        <w:ind w:right="3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Daily Share Amount</w:t>
      </w:r>
      <w:r>
        <w:rPr>
          <w:rFonts w:ascii="Times New Roman" w:cs="Times New Roman" w:eastAsia="Times New Roman" w:hAnsi="Times New Roman"/>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“ADPT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18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De-Legending Deadline Date</w:t>
      </w:r>
      <w:r>
        <w:rPr>
          <w:rFonts w:ascii="Times New Roman" w:cs="Times New Roman" w:eastAsia="Times New Roman" w:hAnsi="Times New Roman"/>
          <w:sz w:val="18"/>
          <w:szCs w:val="18"/>
          <w:color w:val="auto"/>
        </w:rPr>
        <w:t xml:space="preserve">” means, with respect to any Note, the fifteenth (15th) day after the Free Trade Date of such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De-Legending Deadline Date determined as aforesaid would be after an Interest Record Date and before the fifth (5th)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the next Interest Payment Date, then the De-Legending Deadline Date for such Note will instead be the fifth (5th) Business Day immediately after such Interest Payment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xml:space="preserve">” means Combination Settlement with a Specified Dollar Amount of $1,000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(x)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5.03(A)(iii)</w:t>
      </w:r>
      <w:r>
        <w:rPr>
          <w:rFonts w:ascii="Times New Roman" w:cs="Times New Roman" w:eastAsia="Times New Roman" w:hAnsi="Times New Roman"/>
          <w:sz w:val="18"/>
          <w:szCs w:val="18"/>
          <w:color w:val="auto"/>
        </w:rPr>
        <w:t>, the Company may, from time to time, change the Default Settlement Method,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Method that the Company is then permitted to elect, by sending notice of the new Default Settlement Method to the Holders, the Trustee and the Conversion Agent; and (y) the Default Settlement Method will be subject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Depository Trust Company or its successor.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Participant</w:t>
      </w:r>
      <w:r>
        <w:rPr>
          <w:rFonts w:ascii="Times New Roman" w:cs="Times New Roman" w:eastAsia="Times New Roman" w:hAnsi="Times New Roman"/>
          <w:sz w:val="18"/>
          <w:szCs w:val="18"/>
          <w:color w:val="auto"/>
        </w:rPr>
        <w:t>” means any member of, or participant in, the Depositary.</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Procedures</w:t>
      </w:r>
      <w:r>
        <w:rPr>
          <w:rFonts w:ascii="Times New Roman" w:cs="Times New Roman" w:eastAsia="Times New Roman" w:hAnsi="Times New Roman"/>
          <w:sz w:val="18"/>
          <w:szCs w:val="18"/>
          <w:color w:val="auto"/>
        </w:rPr>
        <w:t>” means, with respect to any Conversion, transfer, exchange or other transaction involving a Global Note or any beneficial interest therein, the rules and procedures of the Depositary applicable to such Conversion, transfer, exchange or transaction.</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with respect to a stock split or stock combination of Common Stock, the first date on which the shares of Common Stock trade on the relevant stock exchange, regular way, reflecting the relevant stock split or stock combination, as applicable.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40" w:top="266" w:right="479" w:bottom="1440" w:gutter="0" w:footer="0" w:header="0"/>
        </w:sectPr>
      </w:pPr>
    </w:p>
    <w:bookmarkStart w:id="13" w:name="page14"/>
    <w:bookmarkEnd w:id="13"/>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xml:space="preserve">” means any Fundamental Change with respect to which, in accordance with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 the Company does not offer to repurchase any Notes.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Trade Date</w:t>
      </w:r>
      <w:r>
        <w:rPr>
          <w:rFonts w:ascii="Times New Roman" w:cs="Times New Roman" w:eastAsia="Times New Roman" w:hAnsi="Times New Roman"/>
          <w:sz w:val="18"/>
          <w:szCs w:val="18"/>
          <w:color w:val="auto"/>
        </w:rPr>
        <w:t>” means, with respect to any Note, the date that is one (1) year after the Last Original Issue Date of such Note.</w:t>
      </w:r>
    </w:p>
    <w:p>
      <w:pPr>
        <w:spacing w:after="0" w:line="225"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Freely Tradable</w:t>
      </w:r>
      <w:r>
        <w:rPr>
          <w:rFonts w:ascii="Times New Roman" w:cs="Times New Roman" w:eastAsia="Times New Roman" w:hAnsi="Times New Roman"/>
          <w:sz w:val="17"/>
          <w:szCs w:val="17"/>
          <w:color w:val="auto"/>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from and after the Free Trade Date of such Note, such Note will not be “Freely Tradable” unless such Note (x) is not identified by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 w:cs="Times New Roman" w:eastAsia="Times New Roman" w:hAnsi="Times New Roman"/>
          <w:sz w:val="17"/>
          <w:szCs w:val="17"/>
          <w:b w:val="1"/>
          <w:bCs w:val="1"/>
          <w:color w:val="auto"/>
        </w:rPr>
        <w:t>Section 2.12</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ind w:firstLine="436"/>
        <w:spacing w:after="0" w:line="254"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or “group” (within the meaning of Section 13(d)(3) of the Exchange Act), other than the Company or its Wholly Owned Subsidiaries, or their respective employee benefit plans, has become and files any report with the SEC indicating that such person or group has become the direct or indirect “beneficial owner” (as defined below) of shares of the Common Stock representing more than fifty percent (50%) of the voting power of all of the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person or group will be deemed to be the beneficial owner of any securities tendered pursuant to a tender or exchange offer made by or on behalf of such “person” or “group” until such tendered securities are accepted for purchase or exchange under such offer;</w:t>
      </w:r>
    </w:p>
    <w:p>
      <w:pPr>
        <w:spacing w:after="0" w:line="12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66" w:right="459" w:bottom="1440" w:gutter="0" w:footer="0" w:header="0"/>
        </w:sectPr>
      </w:pPr>
    </w:p>
    <w:bookmarkStart w:id="14" w:name="page15"/>
    <w:bookmarkEnd w:id="14"/>
    <w:p>
      <w:pPr>
        <w:ind w:left="4" w:right="60" w:firstLine="436"/>
        <w:spacing w:after="0" w:line="276" w:lineRule="auto"/>
        <w:tabs>
          <w:tab w:leader="none" w:pos="729"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w:t>
      </w:r>
    </w:p>
    <w:p>
      <w:pPr>
        <w:ind w:left="4" w:right="20" w:hanging="4"/>
        <w:spacing w:after="0" w:line="251"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7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on any of the New York Stock Exchange, the Nasdaq Global Market or the Nasdaq Global Select Market (or any of their respective successors);</w:t>
      </w:r>
    </w:p>
    <w:p>
      <w:pPr>
        <w:spacing w:after="0" w:line="158"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event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not constitute a Fundamental Change if at least ninety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whether 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and percentage beneficial ownership, will be determined in accordance with Rule 13d-3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Exchange Act.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the avoidance of doubt, references to “Common Stock” and “Common Equity” in this definition will be subject to </w:t>
      </w:r>
      <w:r>
        <w:rPr>
          <w:rFonts w:ascii="Times New Roman" w:cs="Times New Roman" w:eastAsia="Times New Roman" w:hAnsi="Times New Roman"/>
          <w:sz w:val="18"/>
          <w:szCs w:val="18"/>
          <w:b w:val="1"/>
          <w:bCs w:val="1"/>
          <w:color w:val="auto"/>
        </w:rPr>
        <w:t>Section 5.09(A)(1)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means the date fixed for the repurchase of any Notes by the Company pursuant to a Repurchase Upon Fundamental Change.</w:t>
      </w:r>
    </w:p>
    <w:p>
      <w:pPr>
        <w:spacing w:after="0" w:line="15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means a notice (including a notice substantially in the form of the “Fundamental Change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containing the information, or otherwise complying with the requirements, set forth in </w:t>
      </w:r>
      <w:r>
        <w:rPr>
          <w:rFonts w:ascii="Times New Roman" w:cs="Times New Roman" w:eastAsia="Times New Roman" w:hAnsi="Times New Roman"/>
          <w:sz w:val="18"/>
          <w:szCs w:val="18"/>
          <w:b w:val="1"/>
          <w:bCs w:val="1"/>
          <w:color w:val="auto"/>
        </w:rPr>
        <w:t>Section 4.02(F)(i)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4.02(F)(ii)</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4"/>
          </w:cols>
          <w:pgMar w:left="436" w:top="270" w:right="459" w:bottom="1440" w:gutter="0" w:footer="0" w:header="0"/>
        </w:sectPr>
      </w:pPr>
    </w:p>
    <w:bookmarkStart w:id="15" w:name="page16"/>
    <w:bookmarkEnd w:id="15"/>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xml:space="preserve">” means a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Depositary or its nominee, duly executed by the Company and authenticated by the Trustee, and deposited with the Trustee, as custodian for the Depositary.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Note is registered on the Registrar’s books.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several purchasers listed in Schedule I to the Purchase Agreement.</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with respect to a Note, each January 1 and July 1 of each year, commencing on January 1, 2027. For the avoidance of doubt, the Maturity Date is an Interest Payment Date.</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 has the following meaning with respect to an Interest Payment Date: (A) if such Interest Payment Date occurs on January 1, the immediately preceding December 15; and (B) if such Interest Payment Date occurs on July 1, the immediately preceding June 15, in each case, whether or not a Business Day.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June 22, 2026.</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Original Issue Date</w:t>
      </w:r>
      <w:r>
        <w:rPr>
          <w:rFonts w:ascii="Times New Roman" w:cs="Times New Roman" w:eastAsia="Times New Roman" w:hAnsi="Times New Roman"/>
          <w:sz w:val="18"/>
          <w:szCs w:val="18"/>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66" w:right="459" w:bottom="1440" w:gutter="0" w:footer="0" w:header="0"/>
        </w:sectPr>
      </w:pPr>
    </w:p>
    <w:bookmarkStart w:id="16" w:name="page17"/>
    <w:bookmarkEnd w:id="1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 a Fundamental Change (determined after giving effect to the proviso immediately after </w:t>
      </w:r>
      <w:r>
        <w:rPr>
          <w:rFonts w:ascii="Times New Roman" w:cs="Times New Roman" w:eastAsia="Times New Roman" w:hAnsi="Times New Roman"/>
          <w:sz w:val="18"/>
          <w:szCs w:val="18"/>
          <w:b w:val="1"/>
          <w:bCs w:val="1"/>
          <w:color w:val="auto"/>
        </w:rPr>
        <w:t>clause</w:t>
      </w:r>
    </w:p>
    <w:p>
      <w:pPr>
        <w:spacing w:after="0" w:line="31" w:lineRule="exact"/>
        <w:rPr>
          <w:sz w:val="20"/>
          <w:szCs w:val="20"/>
          <w:color w:val="auto"/>
        </w:rPr>
      </w:pPr>
    </w:p>
    <w:p>
      <w:pPr>
        <w:ind w:left="4" w:right="160" w:hanging="4"/>
        <w:spacing w:after="0" w:line="253" w:lineRule="auto"/>
        <w:tabs>
          <w:tab w:leader="none" w:pos="29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but without regard to the proviso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such definition); or (B) the sending of a Redemption Notice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the sending of a Redemption Notice for a Provisional Redemption will constitute a Make-Whole Fundamental Change only with respect to the Notes called for Provisional Redemption pursuant to such Redemption Notice and not with respect to any other Notes.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Conversion Period</w:t>
      </w:r>
      <w:r>
        <w:rPr>
          <w:rFonts w:ascii="Times New Roman" w:cs="Times New Roman" w:eastAsia="Times New Roman" w:hAnsi="Times New Roman"/>
          <w:sz w:val="18"/>
          <w:szCs w:val="18"/>
          <w:color w:val="auto"/>
        </w:rPr>
        <w:t>” has the following meaning:</w:t>
      </w:r>
    </w:p>
    <w:p>
      <w:pPr>
        <w:spacing w:after="0" w:line="225" w:lineRule="exact"/>
        <w:rPr>
          <w:sz w:val="20"/>
          <w:szCs w:val="20"/>
          <w:color w:val="auto"/>
        </w:rPr>
      </w:pPr>
    </w:p>
    <w:p>
      <w:pPr>
        <w:ind w:left="4" w:right="120" w:firstLine="436"/>
        <w:spacing w:after="0" w:line="262" w:lineRule="auto"/>
        <w:tabs>
          <w:tab w:leader="none" w:pos="7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6" w:lineRule="exact"/>
        <w:rPr>
          <w:rFonts w:ascii="Times New Roman" w:cs="Times New Roman" w:eastAsia="Times New Roman" w:hAnsi="Times New Roman"/>
          <w:sz w:val="18"/>
          <w:szCs w:val="18"/>
          <w:color w:val="auto"/>
        </w:rPr>
      </w:pPr>
    </w:p>
    <w:p>
      <w:pPr>
        <w:ind w:left="4" w:right="80" w:firstLine="436"/>
        <w:spacing w:after="0" w:line="317" w:lineRule="auto"/>
        <w:tabs>
          <w:tab w:leader="none" w:pos="72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Make-Whole Fundamental Change pursuant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of the definition thereof, the period from, and including, the Redemption Notice Date for the related Redemption to, and including, the second (2nd) Business Day immediately before the related Redemption Date;</w:t>
      </w:r>
    </w:p>
    <w:p>
      <w:pPr>
        <w:spacing w:after="0" w:line="134"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Conversion Date for the Conversion of a Note that has been called for Redemption occurs during the Make-Whole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Conversion Period for both a Make-Whole Fundamental Change occurring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of “Make-Whole Fundamental Change” and a Make-Whole Fundamental Change resulting from such Redemption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such definition, then, notwithstanding anything to the contrary in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81"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Effective Date</w:t>
      </w:r>
      <w:r>
        <w:rPr>
          <w:rFonts w:ascii="Times New Roman" w:cs="Times New Roman" w:eastAsia="Times New Roman" w:hAnsi="Times New Roman"/>
          <w:sz w:val="18"/>
          <w:szCs w:val="18"/>
          <w:color w:val="auto"/>
        </w:rPr>
        <w:t xml:space="preserve">” means (A) with respect to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applicable Redemption Notice Date.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24"/>
          </w:cols>
          <w:pgMar w:left="436" w:top="270" w:right="439" w:bottom="1440" w:gutter="0" w:footer="0" w:header="0"/>
        </w:sectPr>
      </w:pPr>
    </w:p>
    <w:bookmarkStart w:id="17" w:name="page18"/>
    <w:bookmarkEnd w:id="17"/>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xml:space="preserve">”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restriction on trading imposed solely by Rule 201 of Regulation SHO will not constitute a Market Disruption Event.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July 1, 2031.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Non-Affiliate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Agent</w:t>
      </w:r>
      <w:r>
        <w:rPr>
          <w:rFonts w:ascii="Times New Roman" w:cs="Times New Roman" w:eastAsia="Times New Roman" w:hAnsi="Times New Roman"/>
          <w:sz w:val="18"/>
          <w:szCs w:val="18"/>
          <w:color w:val="auto"/>
        </w:rPr>
        <w:t>” means any Registrar, Paying Agent or Conversion Agent.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the second paragraph of this Indenture.</w:t>
      </w:r>
    </w:p>
    <w:p>
      <w:pPr>
        <w:spacing w:after="0" w:line="225"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Observation Period</w:t>
      </w:r>
      <w:r>
        <w:rPr>
          <w:rFonts w:ascii="Times New Roman" w:cs="Times New Roman" w:eastAsia="Times New Roman" w:hAnsi="Times New Roman"/>
          <w:sz w:val="17"/>
          <w:szCs w:val="17"/>
          <w:color w:val="auto"/>
        </w:rPr>
        <w:t xml:space="preserve">” means, with respect to any Note to be Converted, (A) subject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below, if the Conversion Date for such Note occurs before April 1, 2031, the forty (40)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cs="Times New Roman" w:eastAsia="Times New Roman" w:hAnsi="Times New Roman"/>
          <w:sz w:val="17"/>
          <w:szCs w:val="17"/>
          <w:b w:val="1"/>
          <w:bCs w:val="1"/>
          <w:color w:val="auto"/>
        </w:rPr>
        <w:t>Section 4.03(G)</w:t>
      </w:r>
      <w:r>
        <w:rPr>
          <w:rFonts w:ascii="Times New Roman" w:cs="Times New Roman" w:eastAsia="Times New Roman" w:hAnsi="Times New Roman"/>
          <w:sz w:val="17"/>
          <w:szCs w:val="17"/>
          <w:color w:val="auto"/>
        </w:rPr>
        <w:t xml:space="preserve"> and on or before the second (2nd) Business Day before the related Redemption Date, the forty</w:t>
      </w:r>
    </w:p>
    <w:p>
      <w:pPr>
        <w:ind w:left="4" w:right="160" w:hanging="4"/>
        <w:spacing w:after="0" w:line="255" w:lineRule="auto"/>
        <w:tabs>
          <w:tab w:leader="none" w:pos="3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consecutive VWAP Trading Days beginning on, and including, the forty first (41st) Scheduled Trading Day immediately before such Redemption Date; and (C)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if such Conversion Date occurs on or after April 1, 2031, the forty (40) consecutive VWAP Trading Days beginning on, and including, the forty first (41st) Scheduled Trading Day immediately before the Maturity Date.</w:t>
      </w:r>
    </w:p>
    <w:p>
      <w:pPr>
        <w:spacing w:after="0" w:line="182"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5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from legal counsel (including an employee of, or counsel to, the Company or any of its Subsidiaries) reasonably acceptable to the Trustee,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subject to customary qualifications and exclusions.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4"/>
          </w:cols>
          <w:pgMar w:left="436" w:top="266" w:right="459" w:bottom="1440" w:gutter="0" w:footer="0" w:header="0"/>
        </w:sectPr>
      </w:pPr>
    </w:p>
    <w:bookmarkStart w:id="18" w:name="page19"/>
    <w:bookmarkEnd w:id="18"/>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1"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w:t>
      </w:r>
      <w:r>
        <w:rPr>
          <w:rFonts w:ascii="Times New Roman" w:cs="Times New Roman" w:eastAsia="Times New Roman" w:hAnsi="Times New Roman"/>
          <w:sz w:val="18"/>
          <w:szCs w:val="18"/>
          <w:color w:val="auto"/>
        </w:rPr>
        <w:t xml:space="preserve">” means a Note (other than a Global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Holder of such Note and duly executed by the Company and authenticated by the Trustee.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Provisional Redemption</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June 16, 2026, between the Company and the representative of the Initial Purchasers.</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Successor Entity</w:t>
      </w:r>
      <w:r>
        <w:rPr>
          <w:rFonts w:ascii="Times New Roman" w:cs="Times New Roman" w:eastAsia="Times New Roman" w:hAnsi="Times New Roman"/>
          <w:sz w:val="18"/>
          <w:szCs w:val="18"/>
          <w:color w:val="auto"/>
        </w:rPr>
        <w:t xml:space="preserve">” means, with respect to a Business Combination Event,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limited liability company, limited partnership or other similar entity will also constitute a Qualified Successor Entity with respect to such Business Combination Event if either (A) such Business Combination Event is an Exempted Fundamental Change; or (B) both of the following conditions are satisfied: (i) either (1)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(2)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such Business Combination Event constitutes a Common Stock Change Event whose Reference Property consists solely of any combination of cash in U.S. dollars and shares of common stock or other corporate Common Equity interests of an entity that is (1) treated as a corporation for U.S. federal income tax purposes; (2) duly organized and existing under the laws of the United States of America, any State thereof or the District of Columbia; and (3) the direct or indirect parent of such limited liability company, limited partnership or other similar entity.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a Provisional Redemption or a Cleanup Redemption.</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means the date fixed, pursuant to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for the settlement of the repurchase of any Notes by the Company pursuant to a Redemption.</w:t>
      </w:r>
    </w:p>
    <w:p>
      <w:pPr>
        <w:spacing w:after="0" w:line="15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9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the cash price payable by the Company to redeem any Note upon its Redemption, calculated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66" w:right="459" w:bottom="1440" w:gutter="0" w:footer="0" w:header="0"/>
        </w:sectPr>
      </w:pPr>
    </w:p>
    <w:bookmarkStart w:id="19" w:name="page20"/>
    <w:bookmarkEnd w:id="19"/>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relating to this Indenture is referred because of his or her knowledge of, and familiarity with, the particular subject, and who, in each case, has direct responsibility for the administration of this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Legend</w:t>
      </w:r>
      <w:r>
        <w:rPr>
          <w:rFonts w:ascii="Times New Roman" w:cs="Times New Roman" w:eastAsia="Times New Roman" w:hAnsi="Times New Roman"/>
          <w:sz w:val="18"/>
          <w:szCs w:val="18"/>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thereto), as the same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under the Securities Act (or any successor rule thereto), as the same may be amended from time to time.</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any Note or Conversion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Cash Settlement, Physical Settlement or Combination Settlement.</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Option</w:t>
      </w:r>
      <w:r>
        <w:rPr>
          <w:rFonts w:ascii="Times New Roman" w:cs="Times New Roman" w:eastAsia="Times New Roman" w:hAnsi="Times New Roman"/>
          <w:sz w:val="18"/>
          <w:szCs w:val="18"/>
          <w:color w:val="auto"/>
        </w:rPr>
        <w:t>” means the Initial Purchasers’ option to purchase up to forty-five million dollars ($45,000,000) aggregate principal amount of additional Notes as provided for in the Purchase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66" w:right="459" w:bottom="1440" w:gutter="0" w:footer="0" w:header="0"/>
        </w:sectPr>
      </w:pPr>
    </w:p>
    <w:bookmarkStart w:id="20" w:name="page21"/>
    <w:bookmarkEnd w:id="20"/>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with respect to any Person, any Subsidiary of such Person that constitutes a “significant subsidiary” (as defined in Rule 1-02(w) of Regulation S-X under the Exchange Act)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(after intercompany eliminations), exclusive of amounts attributable to any non-controlling interests, for the last completed fiscal year before the date of determination exceeds fifty million dollars ($50,000,000). For the avoidance of doubt, to the extent any such Subsidiary would not be a “significant subsidiary” under the relevant definition set forth in Article 1, Rule 1-02(w) of Regulation S-X (or any successor rule) as in effect on the relevant date of determination, such subsidiary will not be deemed to be a Significant Subsidiary under this Indenture irrespective of whether such subsidiary has greater than fifty million dollars ($50,000,000) in income from continuing operations described in the immediately preceding sentence.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with respect to the Conversion of a Note to which Combination Settlement applies, the maximum cash</w:t>
      </w:r>
    </w:p>
    <w:p>
      <w:pPr>
        <w:spacing w:after="0" w:line="31"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7"/>
          <w:szCs w:val="17"/>
          <w:color w:val="auto"/>
        </w:rPr>
        <w:t>amount per $1,000 principal amount of such Note deliverable upon such Conversion (excluding cash in lieu of any fractional share of Common Stock).</w:t>
      </w:r>
    </w:p>
    <w:p>
      <w:pPr>
        <w:spacing w:after="0" w:line="214"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Price</w:t>
      </w:r>
      <w:r>
        <w:rPr>
          <w:rFonts w:ascii="Times New Roman" w:cs="Times New Roman" w:eastAsia="Times New Roman" w:hAnsi="Times New Roman"/>
          <w:sz w:val="17"/>
          <w:szCs w:val="17"/>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17"/>
          <w:szCs w:val="17"/>
          <w:b w:val="1"/>
          <w:bCs w:val="1"/>
          <w:color w:val="auto"/>
        </w:rPr>
        <w:t xml:space="preserve">clause (B) </w:t>
      </w:r>
      <w:r>
        <w:rPr>
          <w:rFonts w:ascii="Times New Roman" w:cs="Times New Roman" w:eastAsia="Times New Roman" w:hAnsi="Times New Roman"/>
          <w:sz w:val="17"/>
          <w:szCs w:val="17"/>
          <w:color w:val="auto"/>
        </w:rPr>
        <w:t>of the definition of “Fundamental Change,” then the Stock Price is the amount of cash paid per share of Common Stock in such Make-Whole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Fundamental Change; and (B) in all other cases, the Stock Price is the average of the Last Reported Sale Prices per share of Common Stock for the five</w:t>
      </w:r>
    </w:p>
    <w:p>
      <w:pPr>
        <w:ind w:left="4" w:right="180" w:hanging="4"/>
        <w:spacing w:after="0" w:line="26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on, and including, the Trading Day immediately before the Make-Whole Fundamental Change Effective Date of such Make-Whole Fundamental Change.</w:t>
      </w:r>
    </w:p>
    <w:p>
      <w:pPr>
        <w:spacing w:after="0" w:line="177"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0964"/>
          </w:cols>
          <w:pgMar w:left="436" w:top="266" w:right="499" w:bottom="1440" w:gutter="0" w:footer="0" w:header="0"/>
        </w:sectPr>
      </w:pPr>
    </w:p>
    <w:bookmarkStart w:id="21" w:name="page22"/>
    <w:bookmarkEnd w:id="21"/>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Transfer-Restricted Security</w:t>
      </w:r>
      <w:r>
        <w:rPr>
          <w:rFonts w:ascii="Times New Roman" w:cs="Times New Roman" w:eastAsia="Times New Roman" w:hAnsi="Times New Roman"/>
          <w:sz w:val="18"/>
          <w:szCs w:val="18"/>
          <w:color w:val="auto"/>
        </w:rPr>
        <w:t xml:space="preserve">” means any Security that constitutes a “restricted security” (as defined in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207" w:lineRule="exact"/>
        <w:rPr>
          <w:sz w:val="20"/>
          <w:szCs w:val="20"/>
          <w:color w:val="auto"/>
        </w:rPr>
      </w:pPr>
    </w:p>
    <w:p>
      <w:pPr>
        <w:ind w:right="180" w:firstLine="436"/>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7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00"/>
          </w:cols>
          <w:pgMar w:left="440" w:top="266" w:right="459" w:bottom="1440" w:gutter="0" w:footer="0" w:header="0"/>
        </w:sectPr>
      </w:pPr>
    </w:p>
    <w:bookmarkStart w:id="22" w:name="page23"/>
    <w:bookmarkEnd w:id="22"/>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is under no obligation to determine whether any Security is a Transfer-Restricted Security and may conclusively rely on an Officer’s Certificate with respect thereto.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U.S. Trust Indenture Act of 1939, as amended.</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such in the first paragraph of this Indenture until a successor replaces it in accordance with the provisions of this Indenture and, thereafter, means such successor.</w:t>
      </w:r>
    </w:p>
    <w:p>
      <w:pPr>
        <w:spacing w:after="0" w:line="155"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VWAP Market Disruption Event</w:t>
      </w:r>
      <w:r>
        <w:rPr>
          <w:rFonts w:ascii="Times New Roman" w:cs="Times New Roman" w:eastAsia="Times New Roman" w:hAnsi="Times New Roman"/>
          <w:sz w:val="17"/>
          <w:szCs w:val="17"/>
          <w:color w:val="auto"/>
        </w:rPr>
        <w:t xml:space="preserve">”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restriction on trading imposed solely by Rule 201 of Regulation SHO will not constitute a VWAP Market Disruption Event.</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6"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35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Defined in Section</w:t>
            </w:r>
          </w:p>
        </w:tc>
        <w:tc>
          <w:tcPr>
            <w:tcW w:w="20" w:type="dxa"/>
            <w:vAlign w:val="bottom"/>
          </w:tcPr>
          <w:p>
            <w:pPr>
              <w:spacing w:after="0"/>
              <w:rPr>
                <w:sz w:val="14"/>
                <w:szCs w:val="14"/>
                <w:color w:val="auto"/>
              </w:rPr>
            </w:pPr>
          </w:p>
        </w:tc>
      </w:tr>
      <w:tr>
        <w:trPr>
          <w:trHeight w:val="187"/>
        </w:trPr>
        <w:tc>
          <w:tcPr>
            <w:tcW w:w="38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w:t>
            </w:r>
          </w:p>
        </w:tc>
        <w:tc>
          <w:tcPr>
            <w:tcW w:w="606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5.07(A)</w:t>
            </w:r>
          </w:p>
        </w:tc>
        <w:tc>
          <w:tcPr>
            <w:tcW w:w="20" w:type="dxa"/>
            <w:vAlign w:val="bottom"/>
          </w:tcPr>
          <w:p>
            <w:pPr>
              <w:spacing w:after="0"/>
              <w:rPr>
                <w:sz w:val="16"/>
                <w:szCs w:val="16"/>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5.03(B)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w:t>
            </w:r>
          </w:p>
        </w:tc>
        <w:tc>
          <w:tcPr>
            <w:tcW w:w="60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3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Additional Interest</w:t>
            </w:r>
            <w:r>
              <w:rPr>
                <w:rFonts w:ascii="Times New Roman" w:cs="Times New Roman" w:eastAsia="Times New Roman" w:hAnsi="Times New Roman"/>
                <w:sz w:val="18"/>
                <w:szCs w:val="18"/>
                <w:color w:val="auto"/>
              </w:rPr>
              <w:t>”</w:t>
            </w:r>
          </w:p>
        </w:tc>
        <w:tc>
          <w:tcPr>
            <w:tcW w:w="60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3.04(C)(i)</w:t>
            </w:r>
          </w:p>
        </w:tc>
      </w:tr>
      <w:tr>
        <w:trPr>
          <w:trHeight w:val="365"/>
        </w:trPr>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6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- 13 -</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Additional Interest Demand Request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3.04(C)(i)</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4.02(E)</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Election to Pay Deferred Additional Interest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3.04(C)(i)</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4.03(G)</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2.06(B)</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r>
    </w:tbl>
    <w:p>
      <w:pPr>
        <w:spacing w:after="0" w:line="200" w:lineRule="exact"/>
        <w:rPr>
          <w:sz w:val="20"/>
          <w:szCs w:val="20"/>
          <w:color w:val="auto"/>
        </w:rPr>
      </w:pPr>
    </w:p>
    <w:p>
      <w:pPr>
        <w:spacing w:after="0" w:line="210" w:lineRule="exact"/>
        <w:rPr>
          <w:sz w:val="20"/>
          <w:szCs w:val="20"/>
          <w:color w:val="auto"/>
        </w:rPr>
      </w:pPr>
    </w:p>
    <w:p>
      <w:pPr>
        <w:jc w:val="center"/>
        <w:ind w:right="7900"/>
        <w:spacing w:after="0"/>
        <w:rPr>
          <w:sz w:val="20"/>
          <w:szCs w:val="20"/>
          <w:color w:val="auto"/>
        </w:rPr>
      </w:pPr>
      <w:r>
        <w:rPr>
          <w:rFonts w:ascii="Times New Roman" w:cs="Times New Roman" w:eastAsia="Times New Roman" w:hAnsi="Times New Roman"/>
          <w:sz w:val="18"/>
          <w:szCs w:val="18"/>
          <w:b w:val="1"/>
          <w:bCs w:val="1"/>
          <w:color w:val="auto"/>
        </w:rPr>
        <w:t>Section 1.03. R</w:t>
      </w:r>
      <w:r>
        <w:rPr>
          <w:rFonts w:ascii="Times New Roman" w:cs="Times New Roman" w:eastAsia="Times New Roman" w:hAnsi="Times New Roman"/>
          <w:sz w:val="14"/>
          <w:szCs w:val="14"/>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Indenture:</w:t>
      </w:r>
    </w:p>
    <w:p>
      <w:pPr>
        <w:spacing w:after="0" w:line="225" w:lineRule="exact"/>
        <w:rPr>
          <w:sz w:val="20"/>
          <w:szCs w:val="20"/>
          <w:color w:val="auto"/>
        </w:rPr>
      </w:pPr>
    </w:p>
    <w:p>
      <w:pPr>
        <w:ind w:left="740" w:hanging="30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225" w:lineRule="exact"/>
        <w:rPr>
          <w:rFonts w:ascii="Times New Roman" w:cs="Times New Roman" w:eastAsia="Times New Roman" w:hAnsi="Times New Roman"/>
          <w:sz w:val="18"/>
          <w:szCs w:val="18"/>
          <w:color w:val="auto"/>
        </w:rPr>
      </w:pPr>
    </w:p>
    <w:p>
      <w:pPr>
        <w:ind w:right="40" w:firstLine="436"/>
        <w:spacing w:after="0" w:line="266" w:lineRule="auto"/>
        <w:tabs>
          <w:tab w:leader="none" w:pos="7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225" w:lineRule="exact"/>
        <w:rPr>
          <w:rFonts w:ascii="Times New Roman" w:cs="Times New Roman" w:eastAsia="Times New Roman" w:hAnsi="Times New Roman"/>
          <w:sz w:val="18"/>
          <w:szCs w:val="18"/>
          <w:color w:val="auto"/>
        </w:rPr>
      </w:pPr>
    </w:p>
    <w:p>
      <w:pPr>
        <w:ind w:right="520" w:firstLine="436"/>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020"/>
          </w:cols>
          <w:pgMar w:left="440" w:top="266" w:right="439" w:bottom="1440" w:gutter="0" w:footer="0" w:header="0"/>
        </w:sectPr>
      </w:pPr>
    </w:p>
    <w:bookmarkStart w:id="24" w:name="page25"/>
    <w:bookmarkEnd w:id="24"/>
    <w:p>
      <w:pPr>
        <w:ind w:left="740" w:hanging="30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to currency mean the lawful currency of the United States of America, unless the context requires otherwise;</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schedules and other attachments to this Indenture are deemed to form part of this Indenture; and</w:t>
      </w:r>
    </w:p>
    <w:p>
      <w:pPr>
        <w:spacing w:after="0" w:line="221" w:lineRule="exact"/>
        <w:rPr>
          <w:rFonts w:ascii="Times New Roman" w:cs="Times New Roman" w:eastAsia="Times New Roman" w:hAnsi="Times New Roman"/>
          <w:sz w:val="18"/>
          <w:szCs w:val="18"/>
          <w:color w:val="auto"/>
        </w:rPr>
      </w:pPr>
    </w:p>
    <w:p>
      <w:pPr>
        <w:ind w:right="420" w:firstLine="436"/>
        <w:spacing w:after="0" w:line="317" w:lineRule="auto"/>
        <w:tabs>
          <w:tab w:leader="none" w:pos="6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 when used with respect to a Note, means any Special Interest, Additional Interest (including, if applicable, Deferred Additional Interest) or Default Interest, in each case to the extent the same is payable on such Note, unless the context requires otherwise.</w:t>
      </w: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2.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F</w:t>
      </w:r>
      <w:r>
        <w:rPr>
          <w:rFonts w:ascii="Times New Roman" w:cs="Times New Roman" w:eastAsia="Times New Roman" w:hAnsi="Times New Roman"/>
          <w:sz w:val="14"/>
          <w:szCs w:val="14"/>
          <w:b w:val="1"/>
          <w:bCs w:val="1"/>
          <w:color w:val="auto"/>
        </w:rPr>
        <w:t>ORM</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ATING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ENOMINATIONS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will be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Notes will bear the legends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and may bear notations, legends or endorsements required by law, stock exchange rule or usage or the Depositary. Each Note will be dated as of the date of its authentication.</w:t>
      </w:r>
    </w:p>
    <w:p>
      <w:pPr>
        <w:spacing w:after="0" w:line="17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Each certificate representing a Note will bear a unique registration number that is not affixed to any other certificate representing another outstanding Note.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any provision of any Note conflicts with the provisions of this Indenture, the provisions of this Indenture will control for purposes of this Indenture and such Note.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2.02. 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UTHENTICATION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ELIVERY</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right="40" w:firstLine="436"/>
        <w:spacing w:after="0" w:line="267"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Execution by the Company</w:t>
      </w:r>
      <w:r>
        <w:rPr>
          <w:rFonts w:ascii="Times New Roman" w:cs="Times New Roman" w:eastAsia="Times New Roman" w:hAnsi="Times New Roman"/>
          <w:sz w:val="18"/>
          <w:szCs w:val="18"/>
          <w:color w:val="auto"/>
        </w:rPr>
        <w:t>. At least one (1) duly authorized Officer will sign the Notes on behalf of the Company by manual,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facsimile signature. A Note’s validity will not be affected by the failure of any Officer whose signature is on any Note to hold, at the time such Note is authenticated, the same or any other office at the Company.</w:t>
      </w:r>
    </w:p>
    <w:p>
      <w:pPr>
        <w:spacing w:after="0" w:line="173"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 by the Trustee and Delivery</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900"/>
          </w:cols>
          <w:pgMar w:left="440" w:top="270" w:right="559" w:bottom="1440" w:gutter="0" w:footer="0" w:header="0"/>
        </w:sectPr>
      </w:pPr>
    </w:p>
    <w:bookmarkStart w:id="25" w:name="page26"/>
    <w:bookmarkEnd w:id="25"/>
    <w:p>
      <w:pPr>
        <w:ind w:left="440" w:right="140" w:firstLine="419"/>
        <w:spacing w:after="0" w:line="272" w:lineRule="auto"/>
        <w:tabs>
          <w:tab w:leader="none" w:pos="112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7"/>
          <w:szCs w:val="17"/>
          <w:b w:val="1"/>
          <w:bCs w:val="1"/>
          <w:color w:val="auto"/>
        </w:rPr>
        <w:t>Section 2.02(A)</w:t>
      </w:r>
      <w:r>
        <w:rPr>
          <w:rFonts w:ascii="Times New Roman" w:cs="Times New Roman" w:eastAsia="Times New Roman" w:hAnsi="Times New Roman"/>
          <w:sz w:val="17"/>
          <w:szCs w:val="17"/>
          <w:color w:val="auto"/>
        </w:rPr>
        <w:t>; and (3) the Company delivers a Company Order to the Trustee that (a) requests the Trustee to authenticate such Note; and</w:t>
      </w:r>
    </w:p>
    <w:p>
      <w:pPr>
        <w:spacing w:after="0" w:line="1" w:lineRule="exact"/>
        <w:rPr>
          <w:rFonts w:ascii="Times New Roman" w:cs="Times New Roman" w:eastAsia="Times New Roman" w:hAnsi="Times New Roman"/>
          <w:sz w:val="17"/>
          <w:szCs w:val="17"/>
          <w:color w:val="auto"/>
        </w:rPr>
      </w:pPr>
    </w:p>
    <w:p>
      <w:pPr>
        <w:ind w:left="440" w:right="80" w:hanging="4"/>
        <w:spacing w:after="0" w:line="255"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77" w:lineRule="exact"/>
        <w:rPr>
          <w:rFonts w:ascii="Times New Roman" w:cs="Times New Roman" w:eastAsia="Times New Roman" w:hAnsi="Times New Roman"/>
          <w:sz w:val="18"/>
          <w:szCs w:val="18"/>
          <w:color w:val="auto"/>
        </w:rPr>
      </w:pPr>
    </w:p>
    <w:p>
      <w:pPr>
        <w:ind w:left="440" w:firstLine="419"/>
        <w:spacing w:after="0" w:line="258" w:lineRule="auto"/>
        <w:tabs>
          <w:tab w:leader="none" w:pos="11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I</w:t>
      </w:r>
      <w:r>
        <w:rPr>
          <w:rFonts w:ascii="Times New Roman" w:cs="Times New Roman" w:eastAsia="Times New Roman" w:hAnsi="Times New Roman"/>
          <w:sz w:val="14"/>
          <w:szCs w:val="14"/>
          <w:b w:val="1"/>
          <w:bCs w:val="1"/>
          <w:color w:val="auto"/>
        </w:rPr>
        <w:t>NITIAL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320" w:firstLine="436"/>
        <w:spacing w:after="0" w:line="267"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On the Issue Date, there will be originally issued three hundred forty-five million dollars ($345,000,000)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Notes, 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Notes issued pursuant to this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and any Notes issued in exchange therefor or in substitution thereof, are referred to in this Indenture as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120" w:firstLine="436"/>
        <w:spacing w:after="0" w:line="255" w:lineRule="auto"/>
        <w:tabs>
          <w:tab w:leader="none" w:pos="7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Without the consent of any Holder, the Company may, subject to the provisions of this Indenture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originally issue additional Notes with the same terms as the Initial Notes (except, to the extent applicable, with respect to the Last Original Issue Date and, if applicable, transfer restrictions on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additional Notes (and any Notes that are resold after such Notes have been purchased or otherwise acquired by the Company or its Subsidiaries) are not fungible, for federal income tax purposes, for federal securities laws purposes or for purposes of the Depositary Procedures with the Notes or, if applicable, any other Notes the Company issues under this Indenture, then such additional or resold Notes will be identified by one or more separate CUSIP numbers or by no CUSIP number.</w:t>
      </w:r>
    </w:p>
    <w:p>
      <w:pPr>
        <w:spacing w:after="0" w:line="12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000"/>
          </w:cols>
          <w:pgMar w:left="440" w:top="270"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2.04. 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260" w:firstLine="436"/>
        <w:spacing w:after="0" w:line="261"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or repurchase on a Fundamental Change Repurchase Date or otherwise) of, Special Interest, if any, or Additional Interest, if any, on, and any cash Conversion Consideration for, any Global Note to the Depositary by wire transfer of immediately available funds no later than the time the same is due as provided in this Indenture.</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7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or repurchase on a Fundamental Change Repurchase Date or otherwise) of, Special Interest, if any, or Additional Interest, if any,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Special Interest or Additional Interest, if any, due on an Interest Payment Date, the immediately preceding Interest Record Date; (y) with respect to any cash Conversion Consideration, the relevant Conversion Date; and (z) with respect to any other payment, the date that is fifteen (15) calendar days immediately before the date such payment is due.</w:t>
      </w:r>
    </w:p>
    <w:p>
      <w:pPr>
        <w:spacing w:after="0" w:line="200" w:lineRule="exact"/>
        <w:rPr>
          <w:sz w:val="20"/>
          <w:szCs w:val="20"/>
          <w:color w:val="auto"/>
        </w:rPr>
      </w:pPr>
    </w:p>
    <w:p>
      <w:pPr>
        <w:spacing w:after="0" w:line="2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Section 2.05.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EGULAR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CCRUAL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PECIAL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EFAULTED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MOUNTS</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w:t>
      </w:r>
    </w:p>
    <w:p>
      <w:pPr>
        <w:spacing w:after="0" w:line="49" w:lineRule="exact"/>
        <w:rPr>
          <w:sz w:val="20"/>
          <w:szCs w:val="20"/>
          <w:color w:val="auto"/>
        </w:rPr>
      </w:pPr>
    </w:p>
    <w:p>
      <w:pPr>
        <w:ind w:firstLine="436"/>
        <w:spacing w:after="0" w:line="254"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Regular Interest; Accrual and Payment of Special Interest and Additional Interest</w:t>
      </w:r>
      <w:r>
        <w:rPr>
          <w:rFonts w:ascii="Times New Roman" w:cs="Times New Roman" w:eastAsia="Times New Roman" w:hAnsi="Times New Roman"/>
          <w:sz w:val="18"/>
          <w:szCs w:val="18"/>
          <w:color w:val="auto"/>
        </w:rPr>
        <w:t>. The Notes will not bear regular interest,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amount of the Notes will not accrete;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Additional Interest and Special Interest will accrue on the Notes to the extent, and only to the extent, provided in </w:t>
      </w:r>
      <w:r>
        <w:rPr>
          <w:rFonts w:ascii="Times New Roman" w:cs="Times New Roman" w:eastAsia="Times New Roman" w:hAnsi="Times New Roman"/>
          <w:sz w:val="18"/>
          <w:szCs w:val="18"/>
          <w:b w:val="1"/>
          <w:bCs w:val="1"/>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respectively. The amount of any such Special Interest or Additional Interest that is payable on any applicable Interest Payment Date will be the amount of unpaid Special Interest or Additional Interest, as applicable, that has accrued from, and including, the last date as of which such interest has been paid or duly provided for (or if later, the date as of which such interest has begun to accrue, as provided in </w:t>
      </w:r>
      <w:r>
        <w:rPr>
          <w:rFonts w:ascii="Times New Roman" w:cs="Times New Roman" w:eastAsia="Times New Roman" w:hAnsi="Times New Roman"/>
          <w:sz w:val="18"/>
          <w:szCs w:val="18"/>
          <w:b w:val="1"/>
          <w:bCs w:val="1"/>
          <w:color w:val="auto"/>
        </w:rPr>
        <w:t>Sections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as applicable), but excluding, such Interest Payment Date (or, if earlier, the date as of which such interest has ceased to accrue, as provided in </w:t>
      </w:r>
      <w:r>
        <w:rPr>
          <w:rFonts w:ascii="Times New Roman" w:cs="Times New Roman" w:eastAsia="Times New Roman" w:hAnsi="Times New Roman"/>
          <w:sz w:val="18"/>
          <w:szCs w:val="18"/>
          <w:b w:val="1"/>
          <w:bCs w:val="1"/>
          <w:color w:val="auto"/>
        </w:rPr>
        <w:t>Sections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as applicable). Subject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 if any Special Interest or Additional Interest has accrued on any Note, then such interest will be payable in arrears on the next Interest Payment Date to the Holder of such Note as of the Close of Business on the immediately preceding Interest Record Date. Additional Interest and Special Interest, if any, on the Notes will be computed on the basis of a 360-day year comprised of twelve 30-day months.</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0"/>
          </w:cols>
          <w:pgMar w:left="440" w:top="266" w:right="459" w:bottom="1440" w:gutter="0" w:footer="0" w:header="0"/>
        </w:sectPr>
      </w:pPr>
    </w:p>
    <w:bookmarkStart w:id="27" w:name="page28"/>
    <w:bookmarkEnd w:id="27"/>
    <w:p>
      <w:pPr>
        <w:ind w:right="40" w:firstLine="436"/>
        <w:spacing w:after="0" w:line="255" w:lineRule="auto"/>
        <w:tabs>
          <w:tab w:leader="none" w:pos="7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Defaulted Amounts</w:t>
      </w:r>
      <w:r>
        <w:rPr>
          <w:rFonts w:ascii="Times New Roman" w:cs="Times New Roman" w:eastAsia="Times New Roman" w:hAnsi="Times New Roman"/>
          <w:sz w:val="18"/>
          <w:szCs w:val="18"/>
          <w:color w:val="auto"/>
        </w:rPr>
        <w:t>. If the Company fails to pay any cash amount (a “</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 payable on a Note on or before the due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will accrue on such Defaulted Amount for each day, if any, during the period from, and including, such due date to, but excluding, the date of payment of such Defaulted Amount and Default Interest, which Default Interest will accrue on each such day at the combined rate at which Special Interest and Additional Interest accrue on such Note on such day (it being understood, for the avoidance of doubt, that no Default Interest will accrue on such Note on any day on which no Special Interest or Additional Interest accrues on such Note); and (iii) such Defaulted Amount and Default Interest will be paid, at the Company’s election, as provided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below.</w:t>
      </w:r>
    </w:p>
    <w:p>
      <w:pPr>
        <w:spacing w:after="0" w:line="78" w:lineRule="exact"/>
        <w:rPr>
          <w:rFonts w:ascii="Times New Roman" w:cs="Times New Roman" w:eastAsia="Times New Roman" w:hAnsi="Times New Roman"/>
          <w:sz w:val="18"/>
          <w:szCs w:val="18"/>
          <w:color w:val="auto"/>
        </w:rPr>
      </w:pPr>
    </w:p>
    <w:p>
      <w:pPr>
        <w:ind w:left="440" w:firstLine="419"/>
        <w:spacing w:after="0" w:line="277" w:lineRule="auto"/>
        <w:tabs>
          <w:tab w:leader="none" w:pos="107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Default Amounts on a Special Payment Date</w:t>
      </w:r>
      <w:r>
        <w:rPr>
          <w:rFonts w:ascii="Times New Roman" w:cs="Times New Roman" w:eastAsia="Times New Roman" w:hAnsi="Times New Roman"/>
          <w:sz w:val="17"/>
          <w:szCs w:val="17"/>
          <w:color w:val="auto"/>
        </w:rPr>
        <w:t>. The Company will have the right to pay such Defaulted Amount and Default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Interest on a payment date selected by the Company to the Holder of such Note as of the Close of Business on a special record date selected by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(1) such special record date is no more than fifteen (15), nor less than ten (10), calendar days before such payment date; and (2) at least fifteen (15) calendar days before such special record date, the Company sends notice to the Trustee and the Holders that states such special record date, such payment date and the amount of such Defaulted Amount and Default Interest to be paid on such payment date.</w:t>
      </w:r>
    </w:p>
    <w:p>
      <w:pPr>
        <w:spacing w:after="0" w:line="57" w:lineRule="exact"/>
        <w:rPr>
          <w:rFonts w:ascii="Times New Roman" w:cs="Times New Roman" w:eastAsia="Times New Roman" w:hAnsi="Times New Roman"/>
          <w:sz w:val="17"/>
          <w:szCs w:val="17"/>
          <w:color w:val="auto"/>
        </w:rPr>
      </w:pPr>
    </w:p>
    <w:p>
      <w:pPr>
        <w:ind w:left="440" w:firstLine="419"/>
        <w:spacing w:after="0" w:line="286" w:lineRule="auto"/>
        <w:tabs>
          <w:tab w:leader="none" w:pos="11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Default Amount in Any Other Lawful Manner</w:t>
      </w:r>
      <w:r>
        <w:rPr>
          <w:rFonts w:ascii="Times New Roman" w:cs="Times New Roman" w:eastAsia="Times New Roman" w:hAnsi="Times New Roman"/>
          <w:sz w:val="18"/>
          <w:szCs w:val="18"/>
          <w:color w:val="auto"/>
        </w:rPr>
        <w:t>. If not paid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2.05(B)(i)</w:t>
      </w:r>
      <w:r>
        <w:rPr>
          <w:rFonts w:ascii="Times New Roman" w:cs="Times New Roman" w:eastAsia="Times New Roman" w:hAnsi="Times New Roman"/>
          <w:sz w:val="18"/>
          <w:szCs w:val="18"/>
          <w:color w:val="auto"/>
        </w:rPr>
        <w:t>, such Defaulted Amount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Interest will be paid by the Company in any other lawful manner.</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 xml:space="preserve">, a Default in the payment or delivery of any Conversion Consideration when due will be cured upon the payment or delivery of the same (together, if applicable in the case of any cash Conversion Consideration, with Default Interest thereon) to the Person to whom such Conversion Consideration is payable or deliverable (determined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80" w:firstLine="436"/>
        <w:spacing w:after="0" w:line="258" w:lineRule="auto"/>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a Note as provided in this Indenture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3" w:lineRule="exact"/>
        <w:rPr>
          <w:rFonts w:ascii="Times New Roman" w:cs="Times New Roman" w:eastAsia="Times New Roman" w:hAnsi="Times New Roman"/>
          <w:sz w:val="18"/>
          <w:szCs w:val="18"/>
          <w:color w:val="auto"/>
        </w:rPr>
      </w:pPr>
    </w:p>
    <w:p>
      <w:pPr>
        <w:jc w:val="both"/>
        <w:ind w:right="160" w:firstLine="436"/>
        <w:spacing w:after="0" w:line="258"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 for Global Notes</w:t>
      </w:r>
      <w:r>
        <w:rPr>
          <w:rFonts w:ascii="Times New Roman" w:cs="Times New Roman" w:eastAsia="Times New Roman" w:hAnsi="Times New Roman"/>
          <w:sz w:val="18"/>
          <w:szCs w:val="18"/>
          <w:color w:val="auto"/>
        </w:rPr>
        <w:t>. If the first date on which any Special Interest or Additional Interest begins to accrue on any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on or after the fifth (5th) Business Day before an Interest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w:t>
      </w:r>
    </w:p>
    <w:p>
      <w:pPr>
        <w:spacing w:after="0" w:line="11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1000"/>
          </w:cols>
          <w:pgMar w:left="440" w:top="266" w:right="45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2.06. R</w:t>
      </w:r>
      <w:r>
        <w:rPr>
          <w:rFonts w:ascii="Times New Roman" w:cs="Times New Roman" w:eastAsia="Times New Roman" w:hAnsi="Times New Roman"/>
          <w:sz w:val="14"/>
          <w:szCs w:val="14"/>
          <w:b w:val="1"/>
          <w:bCs w:val="1"/>
          <w:color w:val="auto"/>
        </w:rPr>
        <w:t>EGISTRAR</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firstLine="436"/>
        <w:spacing w:after="0" w:line="255" w:lineRule="auto"/>
        <w:tabs>
          <w:tab w:leader="none" w:pos="7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maintain (i) an office or agency in the continental United States where Notes may be presented for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(ii) an office or agency in the continental United States where Notes may be presented for payment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(iii) an office or agency in the continental United States where Notes may be presented for Conversion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If the Company fails to maintain a Registrar, Paying Agent or Conversion Agent, then the Trustee will act as such and will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compensation therefor in accordance with this Indenture and any other agreement between the Trustee and the Company. For the avoidance of doubt, the Company or any of its Subsidiaries may act as Registrar, Paying Agent or Conversion Agent without prior notice to Holders. Notwithstanding anything to the contrary in this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each of the Registrar, Paying Agent and Conversion Agent with respect to any Global Note must at all times be a Person that is eligible to act in that capacity under the Depositary Procedures.</w:t>
      </w:r>
    </w:p>
    <w:p>
      <w:pPr>
        <w:spacing w:after="0" w:line="182" w:lineRule="exact"/>
        <w:rPr>
          <w:rFonts w:ascii="Times New Roman" w:cs="Times New Roman" w:eastAsia="Times New Roman" w:hAnsi="Times New Roman"/>
          <w:sz w:val="18"/>
          <w:szCs w:val="18"/>
          <w:color w:val="auto"/>
        </w:rPr>
      </w:pPr>
    </w:p>
    <w:p>
      <w:pPr>
        <w:ind w:left="4" w:firstLine="436"/>
        <w:spacing w:after="0" w:line="262" w:lineRule="auto"/>
        <w:tabs>
          <w:tab w:leader="none" w:pos="7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Duties of the Registrar</w:t>
      </w:r>
      <w:r>
        <w:rPr>
          <w:rFonts w:ascii="Times New Roman" w:cs="Times New Roman" w:eastAsia="Times New Roman" w:hAnsi="Times New Roman"/>
          <w:sz w:val="18"/>
          <w:szCs w:val="18"/>
          <w:color w:val="auto"/>
        </w:rPr>
        <w:t>. The Registrar will keep a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 addresses of the Holders, the Notes held by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78" w:lineRule="exact"/>
        <w:rPr>
          <w:rFonts w:ascii="Times New Roman" w:cs="Times New Roman" w:eastAsia="Times New Roman" w:hAnsi="Times New Roman"/>
          <w:sz w:val="18"/>
          <w:szCs w:val="18"/>
          <w:color w:val="auto"/>
        </w:rPr>
      </w:pPr>
    </w:p>
    <w:p>
      <w:pPr>
        <w:ind w:left="4" w:firstLine="436"/>
        <w:spacing w:after="0" w:line="257" w:lineRule="auto"/>
        <w:tabs>
          <w:tab w:leader="none" w:pos="7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Co-Agents; Company’s Right to Appoint Successor Registrars, Paying Agents and Conversion Agents</w:t>
      </w:r>
      <w:r>
        <w:rPr>
          <w:rFonts w:ascii="Times New Roman" w:cs="Times New Roman" w:eastAsia="Times New Roman" w:hAnsi="Times New Roman"/>
          <w:sz w:val="18"/>
          <w:szCs w:val="18"/>
          <w:color w:val="auto"/>
        </w:rPr>
        <w:t>. The Company may appoint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80" w:lineRule="exact"/>
        <w:rPr>
          <w:rFonts w:ascii="Times New Roman" w:cs="Times New Roman" w:eastAsia="Times New Roman" w:hAnsi="Times New Roman"/>
          <w:sz w:val="18"/>
          <w:szCs w:val="18"/>
          <w:color w:val="auto"/>
        </w:rPr>
      </w:pPr>
    </w:p>
    <w:p>
      <w:pPr>
        <w:ind w:left="4" w:right="60" w:firstLine="436"/>
        <w:spacing w:after="0" w:line="317" w:lineRule="auto"/>
        <w:tabs>
          <w:tab w:leader="none" w:pos="73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 Appointments</w:t>
      </w:r>
      <w:r>
        <w:rPr>
          <w:rFonts w:ascii="Times New Roman" w:cs="Times New Roman" w:eastAsia="Times New Roman" w:hAnsi="Times New Roman"/>
          <w:sz w:val="17"/>
          <w:szCs w:val="17"/>
          <w:color w:val="auto"/>
        </w:rPr>
        <w:t>. The Company appoints the Trustee as, and designates its corporate trust office identified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11.01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exists on the Issue Date) in the continental United States as the office for, the initial Paying Agent, the initial Registrar and the initial Conversion Agent.</w:t>
      </w:r>
    </w:p>
    <w:p>
      <w:pPr>
        <w:spacing w:after="0" w:line="3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2.07.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TO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ROPERTY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w:t>
      </w:r>
    </w:p>
    <w:p>
      <w:pPr>
        <w:jc w:val="both"/>
        <w:ind w:left="4" w:right="140" w:hanging="4"/>
        <w:spacing w:after="0" w:line="255" w:lineRule="auto"/>
        <w:tabs>
          <w:tab w:leader="none" w:pos="2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w:t>
      </w:r>
    </w:p>
    <w:p>
      <w:pPr>
        <w:spacing w:after="0" w:line="11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004"/>
          </w:cols>
          <w:pgMar w:left="436" w:top="266" w:right="45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 xml:space="preserve">Section 7.01(A) </w:t>
      </w:r>
      <w:r>
        <w:rPr>
          <w:rFonts w:ascii="Times New Roman" w:cs="Times New Roman" w:eastAsia="Times New Roman" w:hAnsi="Times New Roman"/>
          <w:sz w:val="18"/>
          <w:szCs w:val="18"/>
          <w:color w:val="auto"/>
        </w:rPr>
        <w:t>with respect to the Company (or with respect to any Subsidiary of the Company acting as Paying Agent or Conversion Agent),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will serve as the Paying Agent or Conversion Agent, as applicable, for the Notes.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2.08. H</w:t>
      </w:r>
      <w:r>
        <w:rPr>
          <w:rFonts w:ascii="Times New Roman" w:cs="Times New Roman" w:eastAsia="Times New Roman" w:hAnsi="Times New Roman"/>
          <w:sz w:val="14"/>
          <w:szCs w:val="14"/>
          <w:b w:val="1"/>
          <w:bCs w:val="1"/>
          <w:color w:val="auto"/>
        </w:rPr>
        <w:t>OLDER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ISTS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the Trustee is not the Registrar, then the Company will furnish to the Trustee, no later than seven (7) Business Days before each Interest Payment Date in respect of which any Special Interest or Additional Interest is payable, and at such other times as the Trustee may request, a list, in such form and as of such date or time as the Trustee may reasonably require, of the names and addresses of the Holders.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L</w:t>
      </w:r>
      <w:r>
        <w:rPr>
          <w:rFonts w:ascii="Times New Roman" w:cs="Times New Roman" w:eastAsia="Times New Roman" w:hAnsi="Times New Roman"/>
          <w:sz w:val="14"/>
          <w:szCs w:val="14"/>
          <w:b w:val="1"/>
          <w:bCs w:val="1"/>
          <w:color w:val="auto"/>
        </w:rPr>
        <w:t>EGENDS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20" w:firstLine="436"/>
        <w:spacing w:after="0" w:line="284"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the Global Note Legend (or any similar legend, not inconsistent with this Indenture,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Depositary for such Global Note).</w:t>
      </w:r>
    </w:p>
    <w:p>
      <w:pPr>
        <w:spacing w:after="0" w:line="158"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Non-Affiliate Legend</w:t>
      </w:r>
      <w:r>
        <w:rPr>
          <w:rFonts w:ascii="Times New Roman" w:cs="Times New Roman" w:eastAsia="Times New Roman" w:hAnsi="Times New Roman"/>
          <w:sz w:val="18"/>
          <w:szCs w:val="18"/>
          <w:color w:val="auto"/>
        </w:rPr>
        <w:t>. Each Note will bear the Non-Affiliate Legend.</w:t>
      </w:r>
    </w:p>
    <w:p>
      <w:pPr>
        <w:spacing w:after="0" w:line="223"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Note Legend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that is a Transfer-Restricted Security will bear the Restricted Note Legend;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18"/>
          <w:szCs w:val="18"/>
          <w:b w:val="1"/>
          <w:bCs w:val="1"/>
          <w:color w:val="auto"/>
        </w:rPr>
        <w:t>Section 2.09(C)(ii)</w:t>
      </w:r>
      <w:r>
        <w:rPr>
          <w:rFonts w:ascii="Times New Roman" w:cs="Times New Roman" w:eastAsia="Times New Roman" w:hAnsi="Times New Roman"/>
          <w:sz w:val="18"/>
          <w:szCs w:val="18"/>
          <w:color w:val="auto"/>
        </w:rPr>
        <w:t xml:space="preserve">), including pursuant to </w:t>
      </w:r>
      <w:r>
        <w:rPr>
          <w:rFonts w:ascii="Times New Roman" w:cs="Times New Roman" w:eastAsia="Times New Roman" w:hAnsi="Times New Roman"/>
          <w:sz w:val="18"/>
          <w:szCs w:val="18"/>
          <w:b w:val="1"/>
          <w:bCs w:val="1"/>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00"/>
          </w:cols>
          <w:pgMar w:left="440" w:top="270" w:right="459" w:bottom="1440" w:gutter="0" w:footer="0" w:header="0"/>
        </w:sectPr>
      </w:pPr>
    </w:p>
    <w:bookmarkStart w:id="30" w:name="page31"/>
    <w:bookmarkEnd w:id="30"/>
    <w:p>
      <w:pPr>
        <w:ind w:firstLine="436"/>
        <w:spacing w:after="0" w:line="284"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Legends</w:t>
      </w:r>
      <w:r>
        <w:rPr>
          <w:rFonts w:ascii="Times New Roman" w:cs="Times New Roman" w:eastAsia="Times New Roman" w:hAnsi="Times New Roman"/>
          <w:sz w:val="18"/>
          <w:szCs w:val="18"/>
          <w:color w:val="auto"/>
        </w:rPr>
        <w:t>. A Note may bear any other legend or text, not inconsistent with this Indenture, as may be required by applicable law or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or automated quotation system on which such Note is traded or quoted.</w:t>
      </w:r>
    </w:p>
    <w:p>
      <w:pPr>
        <w:spacing w:after="0" w:line="156" w:lineRule="exact"/>
        <w:rPr>
          <w:rFonts w:ascii="Times New Roman" w:cs="Times New Roman" w:eastAsia="Times New Roman" w:hAnsi="Times New Roman"/>
          <w:sz w:val="18"/>
          <w:szCs w:val="18"/>
          <w:color w:val="auto"/>
        </w:rPr>
      </w:pPr>
    </w:p>
    <w:p>
      <w:pPr>
        <w:ind w:right="320" w:firstLine="436"/>
        <w:spacing w:after="0" w:line="286" w:lineRule="auto"/>
        <w:tabs>
          <w:tab w:leader="none" w:pos="7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Acknowledgment and Agreement by the Holders</w:t>
      </w:r>
      <w:r>
        <w:rPr>
          <w:rFonts w:ascii="Times New Roman" w:cs="Times New Roman" w:eastAsia="Times New Roman" w:hAnsi="Times New Roman"/>
          <w:sz w:val="18"/>
          <w:szCs w:val="18"/>
          <w:color w:val="auto"/>
        </w:rPr>
        <w:t>. A Holder’s acceptance of any Note bearing any legend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such Holder’s acknowledgment of, and agreement to comply with, the restrictions set forth in such legend.</w:t>
      </w:r>
    </w:p>
    <w:p>
      <w:pPr>
        <w:spacing w:after="0" w:line="15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Legend</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Conversion Share need not bear the Restricted Stock Legend if the Company determines, in its reasonable discretion,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Share need not bear the Restricted Stock Legend.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2" w:lineRule="auto"/>
        <w:tabs>
          <w:tab w:leader="none" w:pos="11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2.09(F)</w:t>
      </w:r>
      <w:r>
        <w:rPr>
          <w:rFonts w:ascii="Times New Roman" w:cs="Times New Roman" w:eastAsia="Times New Roman" w:hAnsi="Times New Roman"/>
          <w:sz w:val="18"/>
          <w:szCs w:val="18"/>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T</w:t>
      </w:r>
      <w:r>
        <w:rPr>
          <w:rFonts w:ascii="Times New Roman" w:cs="Times New Roman" w:eastAsia="Times New Roman" w:hAnsi="Times New Roman"/>
          <w:sz w:val="14"/>
          <w:szCs w:val="14"/>
          <w:b w:val="1"/>
          <w:bCs w:val="1"/>
          <w:color w:val="auto"/>
        </w:rPr>
        <w:t>RANSFERS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740" w:hanging="304"/>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Provisions Applicable to All Transfers and Exchanges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40" w:right="280" w:firstLine="419"/>
        <w:spacing w:after="0" w:line="286" w:lineRule="auto"/>
        <w:tabs>
          <w:tab w:leader="none" w:pos="10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Physical Notes and beneficial interests in Global Notes may be transferred or exchanged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and the Registrar will record each such transfer or exchange of Physical Notes in the Register.</w:t>
      </w:r>
    </w:p>
    <w:p>
      <w:pPr>
        <w:spacing w:after="0" w:line="48"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Transferred and Exchanged Notes Remain Valid Obligations of the Company</w:t>
      </w:r>
      <w:r>
        <w:rPr>
          <w:rFonts w:ascii="Times New Roman" w:cs="Times New Roman" w:eastAsia="Times New Roman" w:hAnsi="Times New Roman"/>
          <w:sz w:val="18"/>
          <w:szCs w:val="18"/>
          <w:color w:val="auto"/>
        </w:rPr>
        <w:t>. Each Note issued upon transfer or exchange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(such other Note being referred to as the “old Note” for purposes of this </w:t>
      </w:r>
      <w:r>
        <w:rPr>
          <w:rFonts w:ascii="Times New Roman" w:cs="Times New Roman" w:eastAsia="Times New Roman" w:hAnsi="Times New Roman"/>
          <w:sz w:val="18"/>
          <w:szCs w:val="18"/>
          <w:b w:val="1"/>
          <w:bCs w:val="1"/>
          <w:color w:val="auto"/>
        </w:rPr>
        <w:t>Section 2.10(A)(ii)</w:t>
      </w:r>
      <w:r>
        <w:rPr>
          <w:rFonts w:ascii="Times New Roman" w:cs="Times New Roman" w:eastAsia="Times New Roman" w:hAnsi="Times New Roman"/>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71"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Services Charge; Transfer Taxes</w:t>
      </w:r>
      <w:r>
        <w:rPr>
          <w:rFonts w:ascii="Times New Roman" w:cs="Times New Roman" w:eastAsia="Times New Roman" w:hAnsi="Times New Roman"/>
          <w:sz w:val="18"/>
          <w:szCs w:val="18"/>
          <w:color w:val="auto"/>
        </w:rPr>
        <w:t>. The Company, the Trustee and the Note Agents will not impose any service charge on any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8.05</w:t>
      </w:r>
      <w:r>
        <w:rPr>
          <w:rFonts w:ascii="Times New Roman" w:cs="Times New Roman" w:eastAsia="Times New Roman" w:hAnsi="Times New Roman"/>
          <w:sz w:val="18"/>
          <w:szCs w:val="18"/>
          <w:color w:val="auto"/>
        </w:rPr>
        <w:t xml:space="preserve"> not involving any transfer.</w:t>
      </w:r>
    </w:p>
    <w:p>
      <w:pPr>
        <w:spacing w:after="0" w:line="71" w:lineRule="exact"/>
        <w:rPr>
          <w:rFonts w:ascii="Times New Roman" w:cs="Times New Roman" w:eastAsia="Times New Roman" w:hAnsi="Times New Roman"/>
          <w:sz w:val="18"/>
          <w:szCs w:val="18"/>
          <w:color w:val="auto"/>
        </w:rPr>
      </w:pPr>
    </w:p>
    <w:p>
      <w:pPr>
        <w:ind w:left="440" w:right="100" w:firstLine="419"/>
        <w:spacing w:after="0" w:line="315" w:lineRule="auto"/>
        <w:tabs>
          <w:tab w:leader="none" w:pos="116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Transfers and Exchanges Must Be in Authorized Denominations</w:t>
      </w:r>
      <w:r>
        <w:rPr>
          <w:rFonts w:ascii="Times New Roman" w:cs="Times New Roman" w:eastAsia="Times New Roman" w:hAnsi="Times New Roman"/>
          <w:sz w:val="17"/>
          <w:szCs w:val="17"/>
          <w:color w:val="auto"/>
        </w:rPr>
        <w:t>. Notwithstanding anything to the contrary in this Indenture 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a Note may not be transferred or exchanged in part unless the portion to be so transferred or exchanged is in an Authorized Denomination.</w:t>
      </w:r>
    </w:p>
    <w:p>
      <w:pPr>
        <w:spacing w:after="0" w:line="69"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00"/>
          </w:cols>
          <w:pgMar w:left="440" w:top="268" w:right="459" w:bottom="1440" w:gutter="0" w:footer="0" w:header="0"/>
        </w:sectPr>
      </w:pPr>
    </w:p>
    <w:bookmarkStart w:id="31" w:name="page32"/>
    <w:bookmarkEnd w:id="31"/>
    <w:p>
      <w:pPr>
        <w:ind w:left="4" w:right="40" w:firstLine="419"/>
        <w:spacing w:after="0" w:line="253" w:lineRule="auto"/>
        <w:tabs>
          <w:tab w:leader="none" w:pos="68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Trustee’s Disclaimer</w:t>
      </w:r>
      <w:r>
        <w:rPr>
          <w:rFonts w:ascii="Times New Roman" w:cs="Times New Roman" w:eastAsia="Times New Roman" w:hAnsi="Times New Roman"/>
          <w:sz w:val="18"/>
          <w:szCs w:val="18"/>
          <w:color w:val="auto"/>
        </w:rPr>
        <w:t>. The Trustee will have no obligation or duty to monitor, determine or inquire as to compliance with any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 The Trustee will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Redemption Notice) or the payment of any amount or delivery of any Notes (or other security or property) under or with respect to such Notes. All payments to be made to Holders in respect of the Notes will be given or made only to or upon the order of the registered Holders (which is the Depositary or its nominee in the case of a Global Note). The rights of beneficial owners in any Global Note will be exercised only through the Depositary subject to the applicable Depositary Procedures. The Trustee may rely and will be fully protected in relying upon information furnished by the Depositary with respect to its members, participants and any beneficial owners.</w:t>
      </w:r>
    </w:p>
    <w:p>
      <w:pPr>
        <w:spacing w:after="0" w:line="79"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Note issued upon transfer of, or in exchange for, another Note will bear each legend, if any,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 w:right="180" w:firstLine="419"/>
        <w:spacing w:after="0" w:line="267" w:lineRule="auto"/>
        <w:tabs>
          <w:tab w:leader="none" w:pos="78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Transfers and Exchanges</w:t>
      </w:r>
      <w:r>
        <w:rPr>
          <w:rFonts w:ascii="Times New Roman" w:cs="Times New Roman" w:eastAsia="Times New Roman" w:hAnsi="Times New Roman"/>
          <w:sz w:val="18"/>
          <w:szCs w:val="18"/>
          <w:color w:val="auto"/>
        </w:rPr>
        <w:t>. Upon satisfaction of the requirements of this Indenture to effect a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the Company will cause such transfer or exchange to be effected as soon as reasonably practicable but in no event later than the second (2nd) Business Day after the date of such satisfaction.</w:t>
      </w:r>
    </w:p>
    <w:p>
      <w:pPr>
        <w:spacing w:after="0" w:line="63" w:lineRule="exact"/>
        <w:rPr>
          <w:rFonts w:ascii="Times New Roman" w:cs="Times New Roman" w:eastAsia="Times New Roman" w:hAnsi="Times New Roman"/>
          <w:sz w:val="18"/>
          <w:szCs w:val="18"/>
          <w:color w:val="auto"/>
        </w:rPr>
      </w:pPr>
    </w:p>
    <w:p>
      <w:pPr>
        <w:ind w:left="4" w:firstLine="419"/>
        <w:spacing w:after="0" w:line="262" w:lineRule="auto"/>
        <w:tabs>
          <w:tab w:leader="none" w:pos="8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For the avoidance of doubt, and subject to the terms of this Indenture,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an “exchange”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78"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Global Notes.</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r>
        <w:rPr>
          <w:rFonts w:ascii="Times New Roman" w:cs="Times New Roman" w:eastAsia="Times New Roman" w:hAnsi="Times New Roman"/>
          <w:sz w:val="18"/>
          <w:szCs w:val="18"/>
          <w:color w:val="auto"/>
        </w:rPr>
        <w:t>. Subject to the immediately following sentence, no Global Note may be transferred or exchanged in whole except</w:t>
      </w:r>
    </w:p>
    <w:p>
      <w:pPr>
        <w:spacing w:after="0" w:line="29" w:lineRule="exact"/>
        <w:rPr>
          <w:rFonts w:ascii="Times New Roman" w:cs="Times New Roman" w:eastAsia="Times New Roman" w:hAnsi="Times New Roman"/>
          <w:sz w:val="18"/>
          <w:szCs w:val="18"/>
          <w:color w:val="auto"/>
        </w:rPr>
      </w:pPr>
    </w:p>
    <w:p>
      <w:pPr>
        <w:ind w:left="4"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Global Note will be exchanged, pursuant to customary procedures, for one or more Physical Notes if:</w:t>
      </w:r>
    </w:p>
    <w:p>
      <w:pPr>
        <w:spacing w:after="0" w:line="121"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0564"/>
          </w:cols>
          <w:pgMar w:left="876" w:top="268" w:right="459" w:bottom="1440" w:gutter="0" w:footer="0" w:header="0"/>
        </w:sectPr>
      </w:pPr>
    </w:p>
    <w:bookmarkStart w:id="32" w:name="page33"/>
    <w:bookmarkEnd w:id="32"/>
    <w:p>
      <w:pPr>
        <w:jc w:val="both"/>
        <w:ind w:left="121" w:right="240" w:firstLine="408"/>
        <w:spacing w:after="0" w:line="266" w:lineRule="auto"/>
        <w:tabs>
          <w:tab w:leader="none" w:pos="7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67" w:lineRule="exact"/>
        <w:rPr>
          <w:rFonts w:ascii="Times New Roman" w:cs="Times New Roman" w:eastAsia="Times New Roman" w:hAnsi="Times New Roman"/>
          <w:sz w:val="18"/>
          <w:szCs w:val="18"/>
          <w:color w:val="auto"/>
        </w:rPr>
      </w:pPr>
    </w:p>
    <w:p>
      <w:pPr>
        <w:jc w:val="both"/>
        <w:ind w:left="121" w:right="140" w:firstLine="408"/>
        <w:spacing w:after="0" w:line="266" w:lineRule="auto"/>
        <w:tabs>
          <w:tab w:leader="none" w:pos="7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67" w:lineRule="exact"/>
        <w:rPr>
          <w:rFonts w:ascii="Times New Roman" w:cs="Times New Roman" w:eastAsia="Times New Roman" w:hAnsi="Times New Roman"/>
          <w:sz w:val="18"/>
          <w:szCs w:val="18"/>
          <w:color w:val="auto"/>
        </w:rPr>
      </w:pPr>
    </w:p>
    <w:p>
      <w:pPr>
        <w:ind w:left="121" w:right="80" w:firstLine="408"/>
        <w:spacing w:after="0" w:line="282" w:lineRule="auto"/>
        <w:tabs>
          <w:tab w:leader="none" w:pos="7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permits the exchange of any beneficial interest in such Global Note for one or more Physical Notes at the request of the owner of such beneficial interest.</w:t>
      </w:r>
    </w:p>
    <w:p>
      <w:pPr>
        <w:spacing w:after="0" w:line="51" w:lineRule="exact"/>
        <w:rPr>
          <w:rFonts w:ascii="Times New Roman" w:cs="Times New Roman" w:eastAsia="Times New Roman" w:hAnsi="Times New Roman"/>
          <w:sz w:val="18"/>
          <w:szCs w:val="18"/>
          <w:color w:val="auto"/>
        </w:rPr>
      </w:pPr>
    </w:p>
    <w:p>
      <w:pPr>
        <w:ind w:left="-419" w:firstLine="419"/>
        <w:spacing w:after="0" w:line="284" w:lineRule="auto"/>
        <w:tabs>
          <w:tab w:leader="none" w:pos="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satisfaction of the requirements of this Indenture to effect a transfer or exchange of any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(or any portion thereof):</w:t>
      </w:r>
    </w:p>
    <w:p>
      <w:pPr>
        <w:spacing w:after="0" w:line="52" w:lineRule="exact"/>
        <w:rPr>
          <w:rFonts w:ascii="Times New Roman" w:cs="Times New Roman" w:eastAsia="Times New Roman" w:hAnsi="Times New Roman"/>
          <w:sz w:val="18"/>
          <w:szCs w:val="18"/>
          <w:color w:val="auto"/>
        </w:rPr>
      </w:pPr>
    </w:p>
    <w:p>
      <w:pPr>
        <w:ind w:left="121" w:right="220" w:firstLine="408"/>
        <w:spacing w:after="0" w:line="261" w:lineRule="auto"/>
        <w:tabs>
          <w:tab w:leader="none" w:pos="7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1" w:right="140" w:firstLine="408"/>
        <w:spacing w:after="0" w:line="312" w:lineRule="auto"/>
        <w:tabs>
          <w:tab w:leader="none" w:pos="77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31" w:lineRule="exact"/>
        <w:rPr>
          <w:rFonts w:ascii="Times New Roman" w:cs="Times New Roman" w:eastAsia="Times New Roman" w:hAnsi="Times New Roman"/>
          <w:sz w:val="17"/>
          <w:szCs w:val="17"/>
          <w:color w:val="auto"/>
        </w:rPr>
      </w:pPr>
    </w:p>
    <w:p>
      <w:pPr>
        <w:ind w:left="121" w:right="140" w:firstLine="408"/>
        <w:spacing w:after="0" w:line="312" w:lineRule="auto"/>
        <w:tabs>
          <w:tab w:leader="none" w:pos="77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a new Global Note bearing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 and</w:t>
      </w:r>
    </w:p>
    <w:p>
      <w:pPr>
        <w:spacing w:after="0" w:line="31" w:lineRule="exact"/>
        <w:rPr>
          <w:rFonts w:ascii="Times New Roman" w:cs="Times New Roman" w:eastAsia="Times New Roman" w:hAnsi="Times New Roman"/>
          <w:sz w:val="17"/>
          <w:szCs w:val="17"/>
          <w:color w:val="auto"/>
        </w:rPr>
      </w:pPr>
    </w:p>
    <w:p>
      <w:pPr>
        <w:ind w:left="121" w:firstLine="408"/>
        <w:spacing w:after="0" w:line="258" w:lineRule="auto"/>
        <w:tabs>
          <w:tab w:leader="none" w:pos="7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561" w:hanging="111"/>
        <w:spacing w:after="0"/>
        <w:tabs>
          <w:tab w:leader="none" w:pos="456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121"/>
          </w:cols>
          <w:pgMar w:left="1299" w:top="270" w:right="479" w:bottom="1440" w:gutter="0" w:footer="0" w:header="0"/>
        </w:sectPr>
      </w:pPr>
    </w:p>
    <w:bookmarkStart w:id="33" w:name="page34"/>
    <w:bookmarkEnd w:id="33"/>
    <w:p>
      <w:pPr>
        <w:ind w:left="4" w:right="680" w:firstLine="419"/>
        <w:spacing w:after="0" w:line="284" w:lineRule="auto"/>
        <w:tabs>
          <w:tab w:leader="none" w:pos="74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Depositary Procedures</w:t>
      </w:r>
      <w:r>
        <w:rPr>
          <w:rFonts w:ascii="Times New Roman" w:cs="Times New Roman" w:eastAsia="Times New Roman" w:hAnsi="Times New Roman"/>
          <w:sz w:val="18"/>
          <w:szCs w:val="18"/>
          <w:color w:val="auto"/>
        </w:rPr>
        <w:t>. Each transfer or exchange of a beneficial interest in any Global Note will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Depositary Procedures.</w:t>
      </w:r>
    </w:p>
    <w:p>
      <w:pPr>
        <w:spacing w:after="0" w:line="158"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Physical Notes.</w:t>
      </w:r>
    </w:p>
    <w:p>
      <w:pPr>
        <w:spacing w:after="0" w:line="115" w:lineRule="exact"/>
        <w:rPr>
          <w:rFonts w:ascii="Times New Roman" w:cs="Times New Roman" w:eastAsia="Times New Roman" w:hAnsi="Times New Roman"/>
          <w:sz w:val="18"/>
          <w:szCs w:val="18"/>
          <w:color w:val="auto"/>
        </w:rPr>
      </w:pPr>
    </w:p>
    <w:p>
      <w:pPr>
        <w:ind w:left="4" w:firstLine="419"/>
        <w:spacing w:after="0" w:line="257"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Transfers and Exchanges</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 Holder of a Physical Note may (x) transfer such Physical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effect any such transfer or exchange, such Holder must:</w:t>
      </w:r>
    </w:p>
    <w:p>
      <w:pPr>
        <w:spacing w:after="0" w:line="78" w:lineRule="exact"/>
        <w:rPr>
          <w:rFonts w:ascii="Times New Roman" w:cs="Times New Roman" w:eastAsia="Times New Roman" w:hAnsi="Times New Roman"/>
          <w:sz w:val="18"/>
          <w:szCs w:val="18"/>
          <w:color w:val="auto"/>
        </w:rPr>
      </w:pPr>
    </w:p>
    <w:p>
      <w:pPr>
        <w:ind w:left="544" w:right="360" w:firstLine="408"/>
        <w:spacing w:after="0" w:line="282" w:lineRule="auto"/>
        <w:tabs>
          <w:tab w:leader="none" w:pos="119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49"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such certificates, documentation or evidence as may be required pursuant to </w:t>
      </w:r>
      <w:r>
        <w:rPr>
          <w:rFonts w:ascii="Times New Roman" w:cs="Times New Roman" w:eastAsia="Times New Roman" w:hAnsi="Times New Roman"/>
          <w:sz w:val="18"/>
          <w:szCs w:val="18"/>
          <w:b w:val="1"/>
          <w:bCs w:val="1"/>
          <w:color w:val="auto"/>
        </w:rPr>
        <w:t>Section 2.10(D)</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 w:right="280" w:firstLine="419"/>
        <w:spacing w:after="0" w:line="267" w:lineRule="auto"/>
        <w:tabs>
          <w:tab w:leader="none" w:pos="6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the satisfaction of the requirements of this Indenture to effect a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Physical Note (such Physical Note being referred to as the “old Physical Note” for purposes of this </w:t>
      </w:r>
      <w:r>
        <w:rPr>
          <w:rFonts w:ascii="Times New Roman" w:cs="Times New Roman" w:eastAsia="Times New Roman" w:hAnsi="Times New Roman"/>
          <w:sz w:val="18"/>
          <w:szCs w:val="18"/>
          <w:b w:val="1"/>
          <w:bCs w:val="1"/>
          <w:color w:val="auto"/>
        </w:rPr>
        <w:t>Section 2.10(C)(ii)</w:t>
      </w:r>
      <w:r>
        <w:rPr>
          <w:rFonts w:ascii="Times New Roman" w:cs="Times New Roman" w:eastAsia="Times New Roman" w:hAnsi="Times New Roman"/>
          <w:sz w:val="18"/>
          <w:szCs w:val="18"/>
          <w:color w:val="auto"/>
        </w:rPr>
        <w:t>) of a Holder (or any portion of such old Physical Note in an Authorized Denomination):</w:t>
      </w:r>
    </w:p>
    <w:p>
      <w:pPr>
        <w:spacing w:after="0" w:line="63"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old Physical Note will be promptly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544" w:right="20" w:firstLine="408"/>
        <w:spacing w:after="0" w:line="261" w:lineRule="auto"/>
        <w:tabs>
          <w:tab w:leader="none" w:pos="119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w:t>
      </w:r>
    </w:p>
    <w:p>
      <w:pPr>
        <w:spacing w:after="0" w:line="117" w:lineRule="exact"/>
        <w:rPr>
          <w:rFonts w:ascii="Times New Roman" w:cs="Times New Roman" w:eastAsia="Times New Roman" w:hAnsi="Times New Roman"/>
          <w:sz w:val="18"/>
          <w:szCs w:val="18"/>
          <w:color w:val="auto"/>
        </w:rPr>
      </w:pPr>
    </w:p>
    <w:p>
      <w:pPr>
        <w:ind w:left="984" w:right="60" w:firstLine="391"/>
        <w:spacing w:after="0" w:line="266" w:lineRule="auto"/>
        <w:tabs>
          <w:tab w:leader="none" w:pos="1612"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4"/>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544"/>
          </w:cols>
          <w:pgMar w:left="876" w:top="268" w:right="479" w:bottom="1440" w:gutter="0" w:footer="0" w:header="0"/>
        </w:sectPr>
      </w:pPr>
    </w:p>
    <w:bookmarkStart w:id="34" w:name="page35"/>
    <w:bookmarkEnd w:id="34"/>
    <w:p>
      <w:pPr>
        <w:ind w:left="14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84" w:lineRule="exact"/>
        <w:rPr>
          <w:sz w:val="20"/>
          <w:szCs w:val="20"/>
          <w:color w:val="auto"/>
        </w:rPr>
      </w:pPr>
    </w:p>
    <w:p>
      <w:pPr>
        <w:ind w:left="1420" w:right="20" w:firstLine="391"/>
        <w:spacing w:after="0" w:line="258" w:lineRule="auto"/>
        <w:tabs>
          <w:tab w:leader="none" w:pos="2058"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75" w:lineRule="exact"/>
        <w:rPr>
          <w:rFonts w:ascii="Times New Roman" w:cs="Times New Roman" w:eastAsia="Times New Roman" w:hAnsi="Times New Roman"/>
          <w:sz w:val="18"/>
          <w:szCs w:val="18"/>
          <w:color w:val="auto"/>
        </w:rPr>
      </w:pPr>
    </w:p>
    <w:p>
      <w:pPr>
        <w:ind w:left="980" w:firstLine="408"/>
        <w:spacing w:after="0" w:line="261" w:lineRule="auto"/>
        <w:tabs>
          <w:tab w:leader="none" w:pos="163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right="80" w:firstLine="436"/>
        <w:spacing w:after="0" w:line="284"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 to Deliver Documentation and Other Evidence</w:t>
      </w:r>
      <w:r>
        <w:rPr>
          <w:rFonts w:ascii="Times New Roman" w:cs="Times New Roman" w:eastAsia="Times New Roman" w:hAnsi="Times New Roman"/>
          <w:sz w:val="18"/>
          <w:szCs w:val="18"/>
          <w:color w:val="auto"/>
        </w:rPr>
        <w:t>. If a Holder of any Note that is identified by a “restricted” CUSIP number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bears a Restricted Note Legend or is a Transfer-Restricted Security requests to:</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Note to be identified by an “unrestricted” CUSIP number;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such Restricted Note Legend;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such Note to the name of another Person,</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in order for the Company to determine that such identification, removal or transfer, as applicable, complies with the Securities Act and other applicable securities laws;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000"/>
          </w:cols>
          <w:pgMar w:left="440" w:top="270" w:right="459" w:bottom="1440" w:gutter="0" w:footer="0" w:header="0"/>
        </w:sectPr>
      </w:pPr>
    </w:p>
    <w:bookmarkStart w:id="35" w:name="page36"/>
    <w:bookmarkEnd w:id="35"/>
    <w:p>
      <w:pPr>
        <w:jc w:val="both"/>
        <w:ind w:right="140"/>
        <w:spacing w:after="0" w:line="290"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 such certificates, documentation or evidence need be so delivered on or after the Free Trade Date with respect to such Note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w:t>
      </w:r>
    </w:p>
    <w:p>
      <w:pPr>
        <w:spacing w:after="0" w:line="155" w:lineRule="exact"/>
        <w:rPr>
          <w:sz w:val="20"/>
          <w:szCs w:val="20"/>
          <w:color w:val="auto"/>
        </w:rPr>
      </w:pPr>
    </w:p>
    <w:p>
      <w:pPr>
        <w:ind w:firstLine="436"/>
        <w:spacing w:after="0" w:line="256" w:lineRule="auto"/>
        <w:tabs>
          <w:tab w:leader="none" w:pos="7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of Notes Subject to Redemption, Repurchase or Conversion</w:t>
      </w:r>
      <w:r>
        <w:rPr>
          <w:rFonts w:ascii="Times New Roman" w:cs="Times New Roman" w:eastAsia="Times New Roman" w:hAnsi="Times New Roman"/>
          <w:sz w:val="18"/>
          <w:szCs w:val="18"/>
          <w:color w:val="auto"/>
        </w:rPr>
        <w:t>. Notwithstanding anything to the contrary in this Indenture or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39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Section 2.11. E</w:t>
      </w:r>
      <w:r>
        <w:rPr>
          <w:rFonts w:ascii="Times New Roman" w:cs="Times New Roman" w:eastAsia="Times New Roman" w:hAnsi="Times New Roman"/>
          <w:sz w:val="14"/>
          <w:szCs w:val="14"/>
          <w:b w:val="1"/>
          <w:bCs w:val="1"/>
          <w:color w:val="auto"/>
        </w:rPr>
        <w:t>XCHANGE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ANCELLATION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ONVERTED OR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URSUANT TO 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 OR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EDEMPTION</w:t>
      </w:r>
      <w:r>
        <w:rPr>
          <w:rFonts w:ascii="Times New Roman" w:cs="Times New Roman" w:eastAsia="Times New Roman" w:hAnsi="Times New Roman"/>
          <w:sz w:val="18"/>
          <w:szCs w:val="18"/>
          <w:b w:val="1"/>
          <w:bCs w:val="1"/>
          <w:color w:val="auto"/>
        </w:rPr>
        <w:t>.</w:t>
      </w:r>
    </w:p>
    <w:p>
      <w:pPr>
        <w:spacing w:after="0" w:line="49" w:lineRule="exact"/>
        <w:rPr>
          <w:sz w:val="20"/>
          <w:szCs w:val="20"/>
          <w:color w:val="auto"/>
        </w:rPr>
      </w:pPr>
    </w:p>
    <w:p>
      <w:pPr>
        <w:ind w:firstLine="436"/>
        <w:spacing w:after="0" w:line="271" w:lineRule="auto"/>
        <w:tabs>
          <w:tab w:leader="none" w:pos="7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Partial Conversions of Physical Notes and Partial Repurchases of Physical Notes Pursuant to a Repurchase Upon Fundamental Change or Redemption</w:t>
      </w:r>
      <w:r>
        <w:rPr>
          <w:rFonts w:ascii="Times New Roman" w:cs="Times New Roman" w:eastAsia="Times New Roman" w:hAnsi="Times New Roman"/>
          <w:sz w:val="17"/>
          <w:szCs w:val="17"/>
          <w:color w:val="auto"/>
        </w:rPr>
        <w:t>. If only a portion of a Physical Note of a Holder is to be Converted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repurchased pursuant to a Repurchase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cs="Times New Roman" w:eastAsia="Times New Roman" w:hAnsi="Times New Roman"/>
          <w:sz w:val="17"/>
          <w:szCs w:val="17"/>
          <w:b w:val="1"/>
          <w:bCs w:val="1"/>
          <w:color w:val="auto"/>
        </w:rPr>
        <w:t>Section 2.10(C)</w:t>
      </w:r>
      <w:r>
        <w:rPr>
          <w:rFonts w:ascii="Times New Roman" w:cs="Times New Roman" w:eastAsia="Times New Roman" w:hAnsi="Times New Roman"/>
          <w:sz w:val="17"/>
          <w:szCs w:val="17"/>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Physical Note referred to in this </w:t>
      </w:r>
      <w:r>
        <w:rPr>
          <w:rFonts w:ascii="Times New Roman" w:cs="Times New Roman" w:eastAsia="Times New Roman" w:hAnsi="Times New Roman"/>
          <w:sz w:val="17"/>
          <w:szCs w:val="17"/>
          <w:b w:val="1"/>
          <w:bCs w:val="1"/>
          <w:color w:val="auto"/>
        </w:rPr>
        <w:t>clause (ii)</w:t>
      </w:r>
      <w:r>
        <w:rPr>
          <w:rFonts w:ascii="Times New Roman" w:cs="Times New Roman" w:eastAsia="Times New Roman" w:hAnsi="Times New Roman"/>
          <w:sz w:val="17"/>
          <w:szCs w:val="17"/>
          <w:color w:val="auto"/>
        </w:rPr>
        <w:t xml:space="preserve"> need not be issued at any time after which such principal amount subject to such Conversion or repurchase, as applicable, is deemed to cease to be outstanding pursuant to </w:t>
      </w:r>
      <w:r>
        <w:rPr>
          <w:rFonts w:ascii="Times New Roman" w:cs="Times New Roman" w:eastAsia="Times New Roman" w:hAnsi="Times New Roman"/>
          <w:sz w:val="17"/>
          <w:szCs w:val="17"/>
          <w:b w:val="1"/>
          <w:bCs w:val="1"/>
          <w:color w:val="auto"/>
        </w:rPr>
        <w:t>Section 2.18</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right="720" w:firstLine="436"/>
        <w:spacing w:after="0" w:line="284" w:lineRule="auto"/>
        <w:tabs>
          <w:tab w:leader="none" w:pos="7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Notes that Are Converted and Notes that Are Repurchased Pursuant to a Repurchase Upon Fundamental Change or Redemption</w:t>
      </w:r>
      <w:r>
        <w:rPr>
          <w:rFonts w:ascii="Times New Roman" w:cs="Times New Roman" w:eastAsia="Times New Roman" w:hAnsi="Times New Roman"/>
          <w:sz w:val="18"/>
          <w:szCs w:val="18"/>
          <w:color w:val="auto"/>
        </w:rPr>
        <w:t>.</w:t>
      </w:r>
    </w:p>
    <w:p>
      <w:pPr>
        <w:spacing w:after="0" w:line="48" w:lineRule="exact"/>
        <w:rPr>
          <w:rFonts w:ascii="Times New Roman" w:cs="Times New Roman" w:eastAsia="Times New Roman" w:hAnsi="Times New Roman"/>
          <w:sz w:val="18"/>
          <w:szCs w:val="18"/>
          <w:color w:val="auto"/>
        </w:rPr>
      </w:pPr>
    </w:p>
    <w:p>
      <w:pPr>
        <w:ind w:left="440" w:right="40" w:firstLine="419"/>
        <w:spacing w:after="0" w:line="257" w:lineRule="auto"/>
        <w:tabs>
          <w:tab w:leader="none" w:pos="10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If a Physical Note (or any portion thereof that has not theretofore been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2.11(A)</w:t>
      </w:r>
      <w:r>
        <w:rPr>
          <w:rFonts w:ascii="Times New Roman" w:cs="Times New Roman" w:eastAsia="Times New Roman" w:hAnsi="Times New Roman"/>
          <w:sz w:val="18"/>
          <w:szCs w:val="18"/>
          <w:color w:val="auto"/>
        </w:rPr>
        <w: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is to be Converted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or Redemption, then, promptly after the later of the time such Physical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and the time such Physical Note is surrendered for such Conversion or repurchase, as applicable, (1) such Physical Note will be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and (2) in the case of a partial Conversion or repurchase, as applicable, the Company will issue, execute and deliver to such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Trustee will authenticate, in each case in accordance with </w:t>
      </w:r>
      <w:r>
        <w:rPr>
          <w:rFonts w:ascii="Times New Roman" w:cs="Times New Roman" w:eastAsia="Times New Roman" w:hAnsi="Times New Roman"/>
          <w:sz w:val="18"/>
          <w:szCs w:val="18"/>
          <w:b w:val="1"/>
          <w:bCs w:val="1"/>
          <w:color w:val="auto"/>
        </w:rPr>
        <w:t>Section</w:t>
      </w:r>
    </w:p>
    <w:p>
      <w:pPr>
        <w:spacing w:after="0" w:line="11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0960"/>
          </w:cols>
          <w:pgMar w:left="440" w:top="268" w:right="499" w:bottom="1440" w:gutter="0" w:footer="0" w:header="0"/>
        </w:sectPr>
      </w:pPr>
    </w:p>
    <w:bookmarkStart w:id="36" w:name="page37"/>
    <w:bookmarkEnd w:id="36"/>
    <w:p>
      <w:pPr>
        <w:jc w:val="both"/>
        <w:ind w:left="444" w:right="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2.02</w:t>
      </w:r>
      <w:r>
        <w:rPr>
          <w:rFonts w:ascii="Times New Roman" w:cs="Times New Roman" w:eastAsia="Times New Roman" w:hAnsi="Times New Roman"/>
          <w:sz w:val="18"/>
          <w:szCs w:val="18"/>
          <w:color w:val="auto"/>
        </w:rPr>
        <w:t>, one or more Physical Notes that (x) are in Authorized Denominations and have an aggregate principal amount equal to the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such Physical Note that is not to be so Converted or repurchased, as applicable;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44" w:right="20" w:firstLine="419"/>
        <w:spacing w:after="0" w:line="257" w:lineRule="auto"/>
        <w:tabs>
          <w:tab w:leader="none" w:pos="11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If a Global Note (or any portion thereof)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Fundamental Change or Redemption, then, promptly after the time such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2.12. R</w:t>
      </w:r>
      <w:r>
        <w:rPr>
          <w:rFonts w:ascii="Times New Roman" w:cs="Times New Roman" w:eastAsia="Times New Roman" w:hAnsi="Times New Roman"/>
          <w:sz w:val="14"/>
          <w:szCs w:val="14"/>
          <w:b w:val="1"/>
          <w:bCs w:val="1"/>
          <w:color w:val="auto"/>
        </w:rPr>
        <w:t>EMOVAL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Without limiting the generality of any other provision of this Indenture (including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the Restricted Note Legend affixed to any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footnotes to the CUSIP and ISIN numbers set forth on the face of the certificate representing such Note, to thereafter bear the “unrestricted” CUSIP and ISIN numbers identified in such footnotes;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w:t>
      </w:r>
    </w:p>
    <w:p>
      <w:pPr>
        <w:spacing w:after="0" w:line="3" w:lineRule="exact"/>
        <w:rPr>
          <w:sz w:val="20"/>
          <w:szCs w:val="20"/>
          <w:color w:val="auto"/>
        </w:rPr>
      </w:pPr>
    </w:p>
    <w:p>
      <w:pPr>
        <w:ind w:left="4" w:right="240" w:hanging="4"/>
        <w:spacing w:after="0" w:line="260"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and the definition of Freely Tradable, such Global Note will not be deemed to be identified by “unrestricted” CUSIP and ISIN numbers until such time as such exchange or procedure is effected.</w:t>
      </w:r>
    </w:p>
    <w:p>
      <w:pPr>
        <w:spacing w:after="0" w:line="3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2.13. R</w:t>
      </w:r>
      <w:r>
        <w:rPr>
          <w:rFonts w:ascii="Times New Roman" w:cs="Times New Roman" w:eastAsia="Times New Roman" w:hAnsi="Times New Roman"/>
          <w:sz w:val="14"/>
          <w:szCs w:val="14"/>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In addition, in the case of a lost, destroyed or wrongfully taken Note, the Company and the Trustee may require the Holder thereof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such security or indemnity that is reasonably satisfactory to the Company and the Trustee to protect the Company and the Trustee from any loss that any of them may suffer if such Note is replaced.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0984"/>
          </w:cols>
          <w:pgMar w:left="436" w:top="266" w:right="479" w:bottom="1440" w:gutter="0" w:footer="0" w:header="0"/>
        </w:sectPr>
      </w:pPr>
    </w:p>
    <w:bookmarkStart w:id="37" w:name="page38"/>
    <w:bookmarkEnd w:id="37"/>
    <w:p>
      <w:pPr>
        <w:ind w:right="3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Every replacement Note issued pursuant to this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xml:space="preserve"> will be an additional obligation of the Company and will be entitled to all of the benefits of this Indenture equally and ratably with all other Notes issued under this Indenture, regardless of whether the related lost, destroyed or wrongfully taken Note is at any time enforceable by any Person.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 WITH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ESPECT TO</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LOBAL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2.15. C</w:t>
      </w:r>
      <w:r>
        <w:rPr>
          <w:rFonts w:ascii="Times New Roman" w:cs="Times New Roman" w:eastAsia="Times New Roman" w:hAnsi="Times New Roman"/>
          <w:sz w:val="14"/>
          <w:szCs w:val="14"/>
          <w:b w:val="1"/>
          <w:bCs w:val="1"/>
          <w:color w:val="auto"/>
        </w:rPr>
        <w:t>ANCELLATION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the Company may not originally issue new Notes to replace Notes that it has paid or that have been cancelled upon transfer, exchange, payment or Conversion.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2.16.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ELD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OR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FFILIATES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determining whether the Trustee is protected in relying on any such direction, waiver or consent, only Notes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Officer of the Trustee knows are so owned will be so disregarded.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2.17. T</w:t>
      </w:r>
      <w:r>
        <w:rPr>
          <w:rFonts w:ascii="Times New Roman" w:cs="Times New Roman" w:eastAsia="Times New Roman" w:hAnsi="Times New Roman"/>
          <w:sz w:val="14"/>
          <w:szCs w:val="14"/>
          <w:b w:val="1"/>
          <w:bCs w:val="1"/>
          <w:color w:val="auto"/>
        </w:rPr>
        <w:t>EMPORARY</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definitive Notes in exchange for temporary Notes. Until so exchanged, each temporary Note will in all respects be entitled to the same benefits under this Indenture as definitive Notes.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0980"/>
          </w:cols>
          <w:pgMar w:left="440" w:top="266"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2.18. 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100" w:firstLine="436"/>
        <w:spacing w:after="0" w:line="258" w:lineRule="auto"/>
        <w:tabs>
          <w:tab w:leader="none" w:pos="7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Notes that are outstanding at any time will be deemed to be those Notes that, at such time, have been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xml:space="preserve">; (ii) assigned a principal amount of zero by notation on the “Schedule of Exchanges of Interests in the Global Note” forming part of any Global Note representing such Note; (iii) paid in full (including upon Conversion) in accordance with this Indenture; or (iv) deemed to cease to be outstanding to the extent provided in, and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260" w:firstLine="436"/>
        <w:spacing w:after="0" w:line="268"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Replaced Notes</w:t>
      </w:r>
      <w:r>
        <w:rPr>
          <w:rFonts w:ascii="Times New Roman" w:cs="Times New Roman" w:eastAsia="Times New Roman" w:hAnsi="Times New Roman"/>
          <w:sz w:val="18"/>
          <w:szCs w:val="18"/>
          <w:color w:val="auto"/>
        </w:rPr>
        <w:t>. If a Note is replaced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then such Note will cease to be outstanding at the time of its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Trustee and the Company receive proof reasonably satisfactory to them that such Note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172" w:lineRule="exact"/>
        <w:rPr>
          <w:rFonts w:ascii="Times New Roman" w:cs="Times New Roman" w:eastAsia="Times New Roman" w:hAnsi="Times New Roman"/>
          <w:sz w:val="18"/>
          <w:szCs w:val="18"/>
          <w:color w:val="auto"/>
        </w:rPr>
      </w:pPr>
    </w:p>
    <w:p>
      <w:pPr>
        <w:ind w:right="20" w:firstLine="436"/>
        <w:spacing w:after="0" w:line="255"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Maturing Notes and Notes Called for Redemption or Subject to Repurchase</w:t>
      </w:r>
      <w:r>
        <w:rPr>
          <w:rFonts w:ascii="Times New Roman" w:cs="Times New Roman" w:eastAsia="Times New Roman" w:hAnsi="Times New Roman"/>
          <w:sz w:val="18"/>
          <w:szCs w:val="18"/>
          <w:color w:val="auto"/>
        </w:rPr>
        <w:t>. If, on a Redemption Date, a Fundamental Change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or the Maturity Date, the Paying Agent holds money sufficient to pay the aggregate Redemption Price, Fundamental Change Repurchase Price or principal amount, respectively, together, in each case, with the aggregate interest (if any),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if any, on, such Notes (or such portions thereof), in each case as provided in this Indenture.</w:t>
      </w:r>
    </w:p>
    <w:p>
      <w:pPr>
        <w:spacing w:after="0" w:line="184" w:lineRule="exact"/>
        <w:rPr>
          <w:rFonts w:ascii="Times New Roman" w:cs="Times New Roman" w:eastAsia="Times New Roman" w:hAnsi="Times New Roman"/>
          <w:sz w:val="18"/>
          <w:szCs w:val="18"/>
          <w:color w:val="auto"/>
        </w:rPr>
      </w:pPr>
    </w:p>
    <w:p>
      <w:pPr>
        <w:ind w:right="40" w:firstLine="436"/>
        <w:spacing w:after="0" w:line="267" w:lineRule="auto"/>
        <w:tabs>
          <w:tab w:leader="none" w:pos="7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Notes to Be Converted</w:t>
      </w:r>
      <w:r>
        <w:rPr>
          <w:rFonts w:ascii="Times New Roman" w:cs="Times New Roman" w:eastAsia="Times New Roman" w:hAnsi="Times New Roman"/>
          <w:sz w:val="18"/>
          <w:szCs w:val="18"/>
          <w:color w:val="auto"/>
        </w:rPr>
        <w:t>. At the Close of Business on the Conversion Date for any Note (or any portion thereof) to be Converted, such Note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portion) will (unless there occurs a Default in the delivery of the Conversion Consideration or any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upon such Conversion) be deemed to cease to be outstanding, except to the extent provided in</w:t>
      </w:r>
      <w:r>
        <w:rPr>
          <w:rFonts w:ascii="Times New Roman" w:cs="Times New Roman" w:eastAsia="Times New Roman" w:hAnsi="Times New Roman"/>
          <w:sz w:val="18"/>
          <w:szCs w:val="18"/>
          <w:b w:val="1"/>
          <w:bCs w:val="1"/>
          <w:color w:val="auto"/>
        </w:rPr>
        <w:t xml:space="preserve"> Section 5.02(D)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5.08</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right="320" w:firstLine="436"/>
        <w:spacing w:after="0" w:line="268" w:lineRule="auto"/>
        <w:tabs>
          <w:tab w:leader="none" w:pos="7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Cessation of Accrual of Interest</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no Special Interest or Additional Interest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accrue on any Note from and after the date that such Note is deemed, pursuant to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to cease to be outstanding, unless there occurs a Default in the payment or delivery of any cash or other property due on such Note.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2.19. R</w:t>
      </w:r>
      <w:r>
        <w:rPr>
          <w:rFonts w:ascii="Times New Roman" w:cs="Times New Roman" w:eastAsia="Times New Roman" w:hAnsi="Times New Roman"/>
          <w:sz w:val="14"/>
          <w:szCs w:val="14"/>
          <w:b w:val="1"/>
          <w:bCs w:val="1"/>
          <w:color w:val="auto"/>
        </w:rPr>
        <w:t>EPURCHASES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the Company may, from time to time, repurchase Notes in open market purchases or in negotiated transactions without delivering prior notice to Holders.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0960"/>
          </w:cols>
          <w:pgMar w:left="440" w:top="266"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2.20. CUSIP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18"/>
          <w:szCs w:val="18"/>
          <w:b w:val="1"/>
          <w:bCs w:val="1"/>
          <w:color w:val="auto"/>
        </w:rPr>
        <w:t xml:space="preserve"> ISIN N</w:t>
      </w:r>
      <w:r>
        <w:rPr>
          <w:rFonts w:ascii="Times New Roman" w:cs="Times New Roman" w:eastAsia="Times New Roman" w:hAnsi="Times New Roman"/>
          <w:sz w:val="14"/>
          <w:szCs w:val="14"/>
          <w:b w:val="1"/>
          <w:bCs w:val="1"/>
          <w:color w:val="auto"/>
        </w:rPr>
        <w:t>UMBERS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P</w:t>
      </w:r>
      <w:r>
        <w:rPr>
          <w:rFonts w:ascii="Times New Roman" w:cs="Times New Roman" w:eastAsia="Times New Roman" w:hAnsi="Times New Roman"/>
          <w:sz w:val="14"/>
          <w:szCs w:val="14"/>
          <w:b w:val="1"/>
          <w:bCs w:val="1"/>
          <w:color w:val="auto"/>
        </w:rPr>
        <w:t>AYMENT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220" w:firstLine="436"/>
        <w:spacing w:after="0" w:line="284" w:lineRule="auto"/>
        <w:tabs>
          <w:tab w:leader="none" w:pos="7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pay or cause to be paid all the principal of, the Fundamental Change Repurchase Price and Redemption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interest, if any, on, and other amounts due with respect to, the Notes on the dates and in the manner set forth in this Indenture.</w:t>
      </w:r>
    </w:p>
    <w:p>
      <w:pPr>
        <w:spacing w:after="0" w:line="158" w:lineRule="exact"/>
        <w:rPr>
          <w:rFonts w:ascii="Times New Roman" w:cs="Times New Roman" w:eastAsia="Times New Roman" w:hAnsi="Times New Roman"/>
          <w:sz w:val="18"/>
          <w:szCs w:val="18"/>
          <w:color w:val="auto"/>
        </w:rPr>
      </w:pPr>
    </w:p>
    <w:p>
      <w:pPr>
        <w:ind w:right="160" w:firstLine="436"/>
        <w:spacing w:after="0" w:line="258" w:lineRule="auto"/>
        <w:tabs>
          <w:tab w:leader="none" w:pos="7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 of Funds</w:t>
      </w:r>
      <w:r>
        <w:rPr>
          <w:rFonts w:ascii="Times New Roman" w:cs="Times New Roman" w:eastAsia="Times New Roman" w:hAnsi="Times New Roman"/>
          <w:sz w:val="18"/>
          <w:szCs w:val="18"/>
          <w:color w:val="auto"/>
        </w:rPr>
        <w:t>. Before 11:00 A.M., New York City time, on each Redemption Date, Fundamental Change Repurchase Date or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in respect of which any Special Interest or Additional Interest is payable,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EPORTS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firstLine="436"/>
        <w:spacing w:after="0" w:line="255" w:lineRule="auto"/>
        <w:tabs>
          <w:tab w:leader="none" w:pos="7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send to the Trustee copies of all reports that the Company is required to file with the SEC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13(a) or 15(d) of the Exchange Act (other than reports on Form 8-K) within fifteen (15) calendar days after the date that the Company is required to file the same (after giving effect to all applicable grace periods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such report that the Company has sent the Trustee pursuant to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other than such a report that is deemed to be sent to the Trustee pursuant to the preceding sentence.</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 For the avoidance of doubt, if the Company fails to file 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000"/>
          </w:cols>
          <w:pgMar w:left="440" w:top="266" w:right="459" w:bottom="1440" w:gutter="0" w:footer="0" w:header="0"/>
        </w:sectPr>
      </w:pPr>
    </w:p>
    <w:bookmarkStart w:id="40" w:name="page41"/>
    <w:bookmarkEnd w:id="4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SEC any report pursuant to Section 13(a) or 15(d) of the Exchange Act (other than Form 8-K reports) on or before the date that the Company is required to file the same (after giving effect to all applicable grace periods under the Exchange Act), then such failure will not constitute a Default with respect to the covenant set forth in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xml:space="preserve"> at any time before the lapsing of the fifteen (15) calendar days referred to in the first sentence of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160" w:firstLine="436"/>
        <w:spacing w:after="0" w:line="261" w:lineRule="auto"/>
        <w:tabs>
          <w:tab w:leader="none" w:pos="7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need not determine whether the Company has filed any material via the EDGAR system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successor). The sending or filing of reports pursuant to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xml:space="preserve"> will not be deemed to constitute actual or constructive notice to the Trustee of any information contained, or determinable from information contained, therein, including the Company’s compliance with any of its covenants under this Indenture.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18"/>
          <w:szCs w:val="18"/>
          <w:b w:val="1"/>
          <w:bCs w:val="1"/>
          <w:color w:val="auto"/>
        </w:rPr>
        <w:t xml:space="preserve"> 144A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from and after the De-Legending Deadline Date of any Note, such information need not be provided with respect to such Note, or any share of Common Stock issued upon Conversion of such Note, if such Note or share, as applicable, is Freely Tradable (determined, with respect to any share of Common Stock, as each reference to any Note in the definition of “Freely Tradable” were instead a reference to shares of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3.04.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740" w:hanging="304"/>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Additional Interest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0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 (6) month period beginning on, and including, the date that is six (6) months after the Last Original Issue Date of any Note,</w:t>
      </w:r>
    </w:p>
    <w:p>
      <w:pPr>
        <w:spacing w:after="0" w:line="53"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36"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timely file any report (other than Form 8-K reports) that the Company is required to file with the SEC pursuant to Section 13 or 15(d) of the Exchange Act (after giving effect to all applicable grace periods thereunder);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is not otherwise Freely Tradable,</w:t>
      </w:r>
    </w:p>
    <w:p>
      <w:pPr>
        <w:spacing w:after="0" w:line="117" w:lineRule="exact"/>
        <w:rPr>
          <w:sz w:val="20"/>
          <w:szCs w:val="20"/>
          <w:color w:val="auto"/>
        </w:rPr>
      </w:pPr>
    </w:p>
    <w:p>
      <w:pPr>
        <w:jc w:val="both"/>
        <w:ind w:left="440" w:right="120"/>
        <w:spacing w:after="0" w:line="261" w:lineRule="auto"/>
        <w:rPr>
          <w:sz w:val="20"/>
          <w:szCs w:val="20"/>
          <w:color w:val="auto"/>
        </w:rPr>
      </w:pPr>
      <w:r>
        <w:rPr>
          <w:rFonts w:ascii="Times New Roman" w:cs="Times New Roman" w:eastAsia="Times New Roman" w:hAnsi="Times New Roman"/>
          <w:sz w:val="18"/>
          <w:szCs w:val="18"/>
          <w:color w:val="auto"/>
        </w:rPr>
        <w:t>then Additional Interest will accrue on such Note for each day during such period on which such failure is continuing or such Note is not Freely Tradable. The “grace periods” referred to in the preceding sentence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0980"/>
          </w:cols>
          <w:pgMar w:left="440" w:top="270" w:right="479" w:bottom="1440" w:gutter="0" w:footer="0" w:header="0"/>
        </w:sectPr>
      </w:pPr>
    </w:p>
    <w:bookmarkStart w:id="41" w:name="page42"/>
    <w:bookmarkEnd w:id="41"/>
    <w:p>
      <w:pPr>
        <w:ind w:left="440" w:right="980" w:firstLine="419"/>
        <w:spacing w:after="0" w:line="282" w:lineRule="auto"/>
        <w:tabs>
          <w:tab w:leader="none" w:pos="11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Additional Interest will accrue on a Note on each day on which such Note is not Freely Tradable on or after the De-Legending Deadline Date for such Note.</w:t>
      </w:r>
    </w:p>
    <w:p>
      <w:pPr>
        <w:spacing w:after="0" w:line="157"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Additional Interest</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any Additional Interest that accrues on a Note pursuant to</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3.04(A) </w:t>
      </w:r>
      <w:r>
        <w:rPr>
          <w:rFonts w:ascii="Times New Roman" w:cs="Times New Roman" w:eastAsia="Times New Roman" w:hAnsi="Times New Roman"/>
          <w:sz w:val="18"/>
          <w:szCs w:val="18"/>
          <w:color w:val="auto"/>
        </w:rPr>
        <w:t>will accrue at a rate per annum equal to one quarter of one percent (0.25%) of the principal amount thereof for the first ninety (90)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which Additional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no event will Additional Interest that accrues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interest that accrues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Deferred Additional Interest pursuant to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xml:space="preserve">) as a result of the Company’s failure to timely file any document or report that the Company is required to file with the SEC pursuant to Section 13 or 15(d) of the Exchange Act, as applicable (other than reports on Form 8-K), together with any Special Interest that accrues at the Company’s election pursuant to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for a Reporting Event of Default, accrue on any day on a Note at a combined rate per annum that exceeds one half of one percent (0.50%). For the avoidance of doubt, any Additional Interest that accrues on a Note will, subject to the proviso of the immediately preceding sentence, be in addition to any Special Interest that accrues on such Note.</w:t>
      </w:r>
    </w:p>
    <w:p>
      <w:pPr>
        <w:spacing w:after="0" w:line="192" w:lineRule="exact"/>
        <w:rPr>
          <w:sz w:val="20"/>
          <w:szCs w:val="20"/>
          <w:color w:val="auto"/>
        </w:rPr>
      </w:pPr>
    </w:p>
    <w:p>
      <w:pPr>
        <w:ind w:left="720" w:hanging="28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Deferral of Additional Interest</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40" w:firstLine="419"/>
        <w:spacing w:after="0" w:line="268" w:lineRule="auto"/>
        <w:tabs>
          <w:tab w:leader="none" w:pos="107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Notwithstanding anything to the contrary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3.04</w:t>
      </w:r>
      <w:r>
        <w:rPr>
          <w:rFonts w:ascii="Times New Roman" w:cs="Times New Roman" w:eastAsia="Times New Roman" w:hAnsi="Times New Roman"/>
          <w:sz w:val="17"/>
          <w:szCs w:val="17"/>
          <w:color w:val="auto"/>
        </w:rPr>
        <w:t>, but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3.04(C)(iii)</w:t>
      </w:r>
      <w:r>
        <w:rPr>
          <w:rFonts w:ascii="Times New Roman" w:cs="Times New Roman" w:eastAsia="Times New Roman" w:hAnsi="Times New Roman"/>
          <w:sz w:val="17"/>
          <w:szCs w:val="17"/>
          <w:color w:val="auto"/>
        </w:rPr>
        <w:t>, Additional Interest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 Company and the Trustee, no later than the fifth (5th) Business Day before the Interest Record Date immediately before such Interest Payment Date, a written notice (a “</w:t>
      </w:r>
      <w:r>
        <w:rPr>
          <w:rFonts w:ascii="Times New Roman" w:cs="Times New Roman" w:eastAsia="Times New Roman" w:hAnsi="Times New Roman"/>
          <w:sz w:val="17"/>
          <w:szCs w:val="17"/>
          <w:b w:val="1"/>
          <w:bCs w:val="1"/>
          <w:color w:val="auto"/>
        </w:rPr>
        <w:t>Deferred Additional Interest Demand Request</w:t>
      </w:r>
      <w:r>
        <w:rPr>
          <w:rFonts w:ascii="Times New Roman" w:cs="Times New Roman" w:eastAsia="Times New Roman" w:hAnsi="Times New Roman"/>
          <w:sz w:val="17"/>
          <w:szCs w:val="17"/>
          <w:color w:val="auto"/>
        </w:rPr>
        <w:t>”) demanding payment of Additional Interest; or (2) the Company, in its sole and absolute discretion, elects, by sending notice of such election (a “</w:t>
      </w:r>
      <w:r>
        <w:rPr>
          <w:rFonts w:ascii="Times New Roman" w:cs="Times New Roman" w:eastAsia="Times New Roman" w:hAnsi="Times New Roman"/>
          <w:sz w:val="17"/>
          <w:szCs w:val="17"/>
          <w:b w:val="1"/>
          <w:bCs w:val="1"/>
          <w:color w:val="auto"/>
        </w:rPr>
        <w:t>Notice of Election to Pay Deferred Additional Interest</w:t>
      </w:r>
      <w:r>
        <w:rPr>
          <w:rFonts w:ascii="Times New Roman" w:cs="Times New Roman" w:eastAsia="Times New Roman" w:hAnsi="Times New Roman"/>
          <w:sz w:val="17"/>
          <w:szCs w:val="17"/>
          <w:color w:val="auto"/>
        </w:rPr>
        <w:t>”) to Holders before such Interest Record Date, to pay such Additional Interest on such Interest Payment Date (any accrued and unpaid Additional Interest that, in accordance with this sentence, is not paid on such Interest Payment Date, “</w:t>
      </w:r>
      <w:r>
        <w:rPr>
          <w:rFonts w:ascii="Times New Roman" w:cs="Times New Roman" w:eastAsia="Times New Roman" w:hAnsi="Times New Roman"/>
          <w:sz w:val="17"/>
          <w:szCs w:val="17"/>
          <w:b w:val="1"/>
          <w:bCs w:val="1"/>
          <w:color w:val="auto"/>
        </w:rPr>
        <w:t>Deferred Additional Interest</w:t>
      </w:r>
      <w:r>
        <w:rPr>
          <w:rFonts w:ascii="Times New Roman" w:cs="Times New Roman" w:eastAsia="Times New Roman" w:hAnsi="Times New Roman"/>
          <w:sz w:val="17"/>
          <w:szCs w:val="17"/>
          <w:color w:val="auto"/>
        </w:rPr>
        <w:t xml:space="preserve">”). Once any accrued and unpaid Additional Interest becomes payable on an Interest Payment Date (whether as a result of the delivery of a written notice pursuant to </w:t>
      </w:r>
      <w:r>
        <w:rPr>
          <w:rFonts w:ascii="Times New Roman" w:cs="Times New Roman" w:eastAsia="Times New Roman" w:hAnsi="Times New Roman"/>
          <w:sz w:val="17"/>
          <w:szCs w:val="17"/>
          <w:b w:val="1"/>
          <w:bCs w:val="1"/>
          <w:color w:val="auto"/>
        </w:rPr>
        <w:t>clause</w:t>
      </w:r>
    </w:p>
    <w:p>
      <w:pPr>
        <w:spacing w:after="0" w:line="1" w:lineRule="exact"/>
        <w:rPr>
          <w:rFonts w:ascii="Times New Roman" w:cs="Times New Roman" w:eastAsia="Times New Roman" w:hAnsi="Times New Roman"/>
          <w:sz w:val="17"/>
          <w:szCs w:val="17"/>
          <w:color w:val="auto"/>
        </w:rPr>
      </w:pPr>
    </w:p>
    <w:p>
      <w:pPr>
        <w:ind w:left="4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above or, if earlier, the Company’s election to pay the same pursuant to</w:t>
      </w:r>
      <w:r>
        <w:rPr>
          <w:rFonts w:ascii="Times New Roman" w:cs="Times New Roman" w:eastAsia="Times New Roman" w:hAnsi="Times New Roman"/>
          <w:sz w:val="18"/>
          <w:szCs w:val="18"/>
          <w:b w:val="1"/>
          <w:bCs w:val="1"/>
          <w:color w:val="auto"/>
        </w:rPr>
        <w:t xml:space="preserve"> clause (2) </w:t>
      </w:r>
      <w:r>
        <w:rPr>
          <w:rFonts w:ascii="Times New Roman" w:cs="Times New Roman" w:eastAsia="Times New Roman" w:hAnsi="Times New Roman"/>
          <w:sz w:val="18"/>
          <w:szCs w:val="18"/>
          <w:color w:val="auto"/>
        </w:rPr>
        <w:t>above), Additional Interest will thereafter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deferral pursuant to this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7"/>
          <w:szCs w:val="17"/>
          <w:color w:val="auto"/>
        </w:rPr>
      </w:pPr>
    </w:p>
    <w:p>
      <w:pPr>
        <w:ind w:left="440" w:right="460" w:firstLine="419"/>
        <w:spacing w:after="0" w:line="258" w:lineRule="auto"/>
        <w:tabs>
          <w:tab w:leader="none" w:pos="11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Interpretive Provisions</w:t>
      </w:r>
      <w:r>
        <w:rPr>
          <w:rFonts w:ascii="Times New Roman" w:cs="Times New Roman" w:eastAsia="Times New Roman" w:hAnsi="Times New Roman"/>
          <w:sz w:val="18"/>
          <w:szCs w:val="18"/>
          <w:color w:val="auto"/>
        </w:rPr>
        <w:t>. Each reference in this Indenture or the Notes to any accrued interest (including in the definitions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Price and the Fundamental Change Repurchase Price for any Note) or to any accrued Additional Interest includes, to the extent applicable, and without duplication, any Deferred Additional Interest.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Otherwise, such a failure to pay will be subject to </w:t>
      </w:r>
      <w:r>
        <w:rPr>
          <w:rFonts w:ascii="Times New Roman" w:cs="Times New Roman" w:eastAsia="Times New Roman" w:hAnsi="Times New Roman"/>
          <w:sz w:val="18"/>
          <w:szCs w:val="18"/>
          <w:b w:val="1"/>
          <w:bCs w:val="1"/>
          <w:color w:val="auto"/>
        </w:rPr>
        <w:t>Section 7.01(A)(ii)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0980"/>
          </w:cols>
          <w:pgMar w:left="440" w:top="270" w:right="479" w:bottom="1440" w:gutter="0" w:footer="0" w:header="0"/>
        </w:sectPr>
      </w:pPr>
    </w:p>
    <w:bookmarkStart w:id="42" w:name="page43"/>
    <w:bookmarkEnd w:id="42"/>
    <w:p>
      <w:pPr>
        <w:ind w:left="440" w:firstLine="419"/>
        <w:spacing w:after="0" w:line="277" w:lineRule="auto"/>
        <w:tabs>
          <w:tab w:leader="none" w:pos="1178"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or Extinguishment Upon Maturity</w:t>
      </w:r>
      <w:r>
        <w:rPr>
          <w:rFonts w:ascii="Times New Roman" w:cs="Times New Roman" w:eastAsia="Times New Roman" w:hAnsi="Times New Roman"/>
          <w:sz w:val="17"/>
          <w:szCs w:val="17"/>
          <w:color w:val="auto"/>
        </w:rPr>
        <w:t>. Notwithstanding anything to the contrary in this Indenture or the Notes, if (1) any unpaid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Deferred Additional Interest exists on any Notes as of the Close of Business on the Interest Record Date immediately preceding the Maturity Date;</w:t>
      </w:r>
    </w:p>
    <w:p>
      <w:pPr>
        <w:spacing w:after="0" w:line="1" w:lineRule="exact"/>
        <w:rPr>
          <w:rFonts w:ascii="Times New Roman" w:cs="Times New Roman" w:eastAsia="Times New Roman" w:hAnsi="Times New Roman"/>
          <w:sz w:val="17"/>
          <w:szCs w:val="17"/>
          <w:color w:val="auto"/>
        </w:rPr>
      </w:pPr>
    </w:p>
    <w:p>
      <w:pPr>
        <w:ind w:left="440" w:right="40" w:hanging="4"/>
        <w:spacing w:after="0" w:line="251"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Holder (or owner of a beneficial interest in a Global Note) has delivered a Deferred Additional Interest Demand Request in the manner set forth in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on or before the fifth (5th) Business Day before such Interest Record Date; and (3) the Company has not sent a Notice of Election to Pay Deferred Additional Interest in the manner set forth in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before such Interest Record Date, then Deferred Additional Interest on each Note then outstanding will cease to accrue, and all Deferred Additional Interest on such Note will be deemed to be extinguished on the following date: (a) if such Note is to be Converted, the Conversion Date for such Conversion (it being understood, for the avoidance of doubt, that the Conversion Consideration therefor need not include the payment of any such Deferred Additional Interest); and (b) in all other cases, the later of (x) the Maturity Date; and (y) the first date on which the Company has repaid the principal of, and accrued and unpaid interest (other than such Deferred Additional Interest) on, such Note in full.</w:t>
      </w:r>
    </w:p>
    <w:p>
      <w:pPr>
        <w:spacing w:after="0" w:line="192" w:lineRule="exact"/>
        <w:rPr>
          <w:sz w:val="20"/>
          <w:szCs w:val="20"/>
          <w:color w:val="auto"/>
        </w:rPr>
      </w:pPr>
    </w:p>
    <w:p>
      <w:pPr>
        <w:ind w:right="40" w:firstLine="436"/>
        <w:spacing w:after="0" w:line="255" w:lineRule="auto"/>
        <w:tabs>
          <w:tab w:leader="none" w:pos="7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Accrual of Additional Interest; Trustee’s Disclaimer</w:t>
      </w:r>
      <w:r>
        <w:rPr>
          <w:rFonts w:ascii="Times New Roman" w:cs="Times New Roman" w:eastAsia="Times New Roman" w:hAnsi="Times New Roman"/>
          <w:sz w:val="18"/>
          <w:szCs w:val="18"/>
          <w:color w:val="auto"/>
        </w:rPr>
        <w:t>. The Company will send notice to the Holder of each Note, and to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commencement and termination of any period in which Additional Interest accrues on such Note, except that no such notice is required in respect of any Additional Interest that is deferred in accordance with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(x) will have no duty to determine whether any Additional Interest is payable (or whether the same is deferred or is accruing interest) or the amount thereof; and (y) may assume (without inquiry) that no Additional Interest is payable or has been deferred unless and until the Company delivers such Officer’s Certificate.</w:t>
      </w:r>
    </w:p>
    <w:p>
      <w:pPr>
        <w:spacing w:after="0" w:line="184" w:lineRule="exact"/>
        <w:rPr>
          <w:rFonts w:ascii="Times New Roman" w:cs="Times New Roman" w:eastAsia="Times New Roman" w:hAnsi="Times New Roman"/>
          <w:sz w:val="18"/>
          <w:szCs w:val="18"/>
          <w:color w:val="auto"/>
        </w:rPr>
      </w:pPr>
    </w:p>
    <w:p>
      <w:pPr>
        <w:ind w:firstLine="436"/>
        <w:spacing w:after="0" w:line="284" w:lineRule="auto"/>
        <w:tabs>
          <w:tab w:leader="none" w:pos="7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Remedy</w:t>
      </w:r>
      <w:r>
        <w:rPr>
          <w:rFonts w:ascii="Times New Roman" w:cs="Times New Roman" w:eastAsia="Times New Roman" w:hAnsi="Times New Roman"/>
          <w:sz w:val="18"/>
          <w:szCs w:val="18"/>
          <w:color w:val="auto"/>
        </w:rPr>
        <w:t>. The accrual of Additional Interest will be the exclusive remedy available to Holders for the failure of their Notes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Freely Tradable.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3.05. C</w:t>
      </w:r>
      <w:r>
        <w:rPr>
          <w:rFonts w:ascii="Times New Roman" w:cs="Times New Roman" w:eastAsia="Times New Roman" w:hAnsi="Times New Roman"/>
          <w:sz w:val="14"/>
          <w:szCs w:val="14"/>
          <w:b w:val="1"/>
          <w:bCs w:val="1"/>
          <w:color w:val="auto"/>
        </w:rPr>
        <w:t>OMPLIANCE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220" w:firstLine="436"/>
        <w:spacing w:after="0" w:line="277" w:lineRule="auto"/>
        <w:tabs>
          <w:tab w:leader="none" w:pos="7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Annual Compliance Certificate</w:t>
      </w:r>
      <w:r>
        <w:rPr>
          <w:rFonts w:ascii="Times New Roman" w:cs="Times New Roman" w:eastAsia="Times New Roman" w:hAnsi="Times New Roman"/>
          <w:sz w:val="17"/>
          <w:szCs w:val="17"/>
          <w:color w:val="auto"/>
        </w:rPr>
        <w:t>. Within ninety (90) days after the last day of each fiscal year of the Company, beginning with the first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02"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1000"/>
          </w:cols>
          <w:pgMar w:left="440" w:top="268" w:right="459" w:bottom="1440" w:gutter="0" w:footer="0" w:header="0"/>
        </w:sectPr>
      </w:pPr>
    </w:p>
    <w:bookmarkStart w:id="43" w:name="page44"/>
    <w:bookmarkEnd w:id="43"/>
    <w:p>
      <w:pPr>
        <w:ind w:right="20" w:firstLine="436"/>
        <w:spacing w:after="0" w:line="261" w:lineRule="auto"/>
        <w:tabs>
          <w:tab w:leader="none" w:pos="7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Certificate</w:t>
      </w:r>
      <w:r>
        <w:rPr>
          <w:rFonts w:ascii="Times New Roman" w:cs="Times New Roman" w:eastAsia="Times New Roman" w:hAnsi="Times New Roman"/>
          <w:sz w:val="18"/>
          <w:szCs w:val="18"/>
          <w:color w:val="auto"/>
        </w:rPr>
        <w:t>. If a Default or Event of Default occurs, then the Company will, within thirty (30) days after its first occurrence, deliver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Officer’s Certificate to the Trustee describing the same and what action the Company is taking or proposes to take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deliver such Officer’s Certificate at any time after such Default or Event of Default is cured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3.06. S</w:t>
      </w:r>
      <w:r>
        <w:rPr>
          <w:rFonts w:ascii="Times New Roman" w:cs="Times New Roman" w:eastAsia="Times New Roman" w:hAnsi="Times New Roman"/>
          <w:sz w:val="14"/>
          <w:szCs w:val="14"/>
          <w:b w:val="1"/>
          <w:bCs w:val="1"/>
          <w:color w:val="auto"/>
        </w:rPr>
        <w:t>TAY</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XTENSION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SURY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3.07. A</w:t>
      </w:r>
      <w:r>
        <w:rPr>
          <w:rFonts w:ascii="Times New Roman" w:cs="Times New Roman" w:eastAsia="Times New Roman" w:hAnsi="Times New Roman"/>
          <w:sz w:val="14"/>
          <w:szCs w:val="14"/>
          <w:b w:val="1"/>
          <w:bCs w:val="1"/>
          <w:color w:val="auto"/>
        </w:rPr>
        <w:t>CQUISITION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AND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FFILIATES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Notes that the Company or any of its Subsidiaries have purchased or otherwise acquired will be deemed to remain outstanding (except to the extent provided in </w:t>
      </w:r>
      <w:r>
        <w:rPr>
          <w:rFonts w:ascii="Times New Roman" w:cs="Times New Roman" w:eastAsia="Times New Roman" w:hAnsi="Times New Roman"/>
          <w:sz w:val="18"/>
          <w:szCs w:val="18"/>
          <w:b w:val="1"/>
          <w:bCs w:val="1"/>
          <w:color w:val="auto"/>
        </w:rPr>
        <w:t>Section 2.16</w:t>
      </w:r>
      <w:r>
        <w:rPr>
          <w:rFonts w:ascii="Times New Roman" w:cs="Times New Roman" w:eastAsia="Times New Roman" w:hAnsi="Times New Roman"/>
          <w:sz w:val="18"/>
          <w:szCs w:val="18"/>
          <w:color w:val="auto"/>
        </w:rPr>
        <w:t>) until such time as such Notes are delivered to the Trustee for cancellation. The Company will use commercially reasonable efforts to prevent any of its controlled Affiliates from acquiring any Note (or any beneficial interest therein).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3.08. E</w:t>
      </w:r>
      <w:r>
        <w:rPr>
          <w:rFonts w:ascii="Times New Roman" w:cs="Times New Roman" w:eastAsia="Times New Roman" w:hAnsi="Times New Roman"/>
          <w:sz w:val="14"/>
          <w:szCs w:val="14"/>
          <w:b w:val="1"/>
          <w:bCs w:val="1"/>
          <w:color w:val="auto"/>
        </w:rPr>
        <w:t>XISTENCE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the Company will do or cause to be done all things necessary to preserve and keep in full force and effect its corporate existence.</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4. REPURCHASE AND REDEMPTION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INKING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sinking fund is required to be provided for the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4.02. 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80" w:firstLine="436"/>
        <w:spacing w:after="0" w:line="262" w:lineRule="auto"/>
        <w:tabs>
          <w:tab w:leader="none" w:pos="7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Holders to Require the Company to Repurchase Notes Upon a Fundamental Change</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Fundamental Change occurs, then each Holder will have the right (the “</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0960"/>
          </w:cols>
          <w:pgMar w:left="440" w:top="268" w:right="499" w:bottom="1440" w:gutter="0" w:footer="0" w:header="0"/>
        </w:sectPr>
      </w:pPr>
    </w:p>
    <w:bookmarkStart w:id="44" w:name="page45"/>
    <w:bookmarkEnd w:id="44"/>
    <w:p>
      <w:pPr>
        <w:ind w:left="-20" w:right="20" w:firstLine="436"/>
        <w:spacing w:after="0" w:line="256"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rescinded on or before the Fundamental Change Repurchase Date for a Repurchase Upon Fundamental Change (except in the case of an acceleration resulting from a Default by the Company in the payment of the Fundamental Change Repurchase Price with respect to such Notes), then (i) the Company may not repurchase any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ind w:left="-20" w:right="180" w:firstLine="436"/>
        <w:spacing w:after="0" w:line="267"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The Fundamental Change Repurchase Date for any Fundamental Change will be a Business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20" w:firstLine="436"/>
        <w:spacing w:after="0" w:line="252" w:lineRule="auto"/>
        <w:tabs>
          <w:tab w:leader="none" w:pos="7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The Fundamental Change Repurchase Price for any Note to be repurchased upon a Repurchase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following a Fundamental Change is an amount in cash equal to the principal amount of such Note plus accrued and unpaid Special Interest and Additional Interest, if any, on such Note to, but excluding, the Fundamental Change Repurchase Date for such Fundamental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any payment of Special Interest or Additional Interest is due in respect of any Interest Payment Date and such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Repurchase Date is after the related Interest Record Date and on or before such Interest Payment Date, then (i) the Holder of such Note at the Close of Business on such Interest Record Date will be entitled, notwithstanding such Repurchase Upon Fundamental Change, to receive, on or, at the Company’s election, before such Interest Payment Date, such payment of Special Interest or Additional Interest, as applicable (assuming, solely for these purposes, that such Note remained outstanding through such Interest Payment Date, if such Fundamental Change Repurchase Date is before such Interest Payment Date); and (ii) the Fundamental Change Repurchase Price will not include any accrued and unpaid Special Interest or Additional Interest on such Note to, but excluding, such Fundamental Change Repurchase Date. For the avoidance of doubt, if such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Fundamental Change Repurchase Date occurs on the Business Day immediately after such Interest Payment Date, then (x) accrued and unpaid Special Interest or Additional Interest, if any, as applicable,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Interest Record Date; and (y) the Fundamental Change Repurchase Price will include Special Interest and Additional Interest, if any, on the Notes to be repurchased from, and including, such Interest Payment Date.</w:t>
      </w:r>
    </w:p>
    <w:p>
      <w:pPr>
        <w:spacing w:after="0" w:line="195" w:lineRule="exact"/>
        <w:rPr>
          <w:rFonts w:ascii="Times New Roman" w:cs="Times New Roman" w:eastAsia="Times New Roman" w:hAnsi="Times New Roman"/>
          <w:sz w:val="18"/>
          <w:szCs w:val="18"/>
          <w:color w:val="auto"/>
        </w:rPr>
      </w:pPr>
    </w:p>
    <w:p>
      <w:pPr>
        <w:ind w:left="-20" w:right="160" w:firstLine="436"/>
        <w:spacing w:after="0" w:line="267"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Notice</w:t>
      </w:r>
      <w:r>
        <w:rPr>
          <w:rFonts w:ascii="Times New Roman" w:cs="Times New Roman" w:eastAsia="Times New Roman" w:hAnsi="Times New Roman"/>
          <w:sz w:val="18"/>
          <w:szCs w:val="18"/>
          <w:color w:val="auto"/>
        </w:rPr>
        <w:t>. On or before the twentieth (20th) calendar day after the effective date of a Fundamental Change,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send to each Holder, the Trustee, the Conversion Agent and the Paying Agent a notice of such Fundamental Change (a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Such Fundamental Change Notice must state:</w:t>
      </w:r>
    </w:p>
    <w:p>
      <w:pPr>
        <w:spacing w:after="0" w:line="117" w:lineRule="exact"/>
        <w:rPr>
          <w:sz w:val="20"/>
          <w:szCs w:val="20"/>
          <w:color w:val="auto"/>
        </w:rPr>
      </w:pPr>
    </w:p>
    <w:p>
      <w:pPr>
        <w:ind w:left="1060" w:hanging="221"/>
        <w:spacing w:after="0"/>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the events causing such Fundamental Change;</w:t>
      </w:r>
    </w:p>
    <w:p>
      <w:pPr>
        <w:spacing w:after="0" w:line="11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such Fundamental Change;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0980"/>
          </w:cols>
          <w:pgMar w:left="460" w:top="268" w:right="459" w:bottom="1440" w:gutter="0" w:footer="0" w:header="0"/>
        </w:sectPr>
      </w:pPr>
    </w:p>
    <w:bookmarkStart w:id="45" w:name="page46"/>
    <w:bookmarkEnd w:id="45"/>
    <w:p>
      <w:pPr>
        <w:jc w:val="both"/>
        <w:ind w:left="440" w:right="280" w:firstLine="419"/>
        <w:spacing w:after="0" w:line="268" w:lineRule="auto"/>
        <w:tabs>
          <w:tab w:leader="none" w:pos="11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including the deadline for exercising the Fundamental Change Repurchase Right and the procedures for submitting and withdrawing a Fundamental Change Repurchase Notice;</w:t>
      </w:r>
    </w:p>
    <w:p>
      <w:pPr>
        <w:spacing w:after="0" w:line="66"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 for such Fundamental Change;</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Repurchase Price per $1,000 principal amount of Notes for such Fundamental Change (and, if any Special Interest or Additional Interest is payable in respect of an Interest Payment Date and such Fundamental Change Repurchase Date is after the related Interest Record Date and on or before such Interest Payment Date, the amount, manner and timing of the interest payment payable pursuant to the proviso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 Fundamental Change Repurchase Notice has been duly surrendered and not duly withdrawn must be delivered to the Paying Agent for the Holder thereof to be entitled to receive the Fundamental Change Repurchase Price;</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(or any portion thereof) that are subject to a Fundamental Change Repurchase Notice that has been duly surrendered may be Converted only if such Fundamental Change Repurchase Notice is withdrawn in accordance with this Indenture;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60" w:lineRule="exact"/>
        <w:rPr>
          <w:sz w:val="20"/>
          <w:szCs w:val="20"/>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to Exercise the Fundamental Change Repurchase Right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4" w:lineRule="auto"/>
        <w:tabs>
          <w:tab w:leader="none" w:pos="107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Fundamental Change Repurchase Notice and Notes to Be Repurchased</w:t>
      </w:r>
      <w:r>
        <w:rPr>
          <w:rFonts w:ascii="Times New Roman" w:cs="Times New Roman" w:eastAsia="Times New Roman" w:hAnsi="Times New Roman"/>
          <w:sz w:val="18"/>
          <w:szCs w:val="18"/>
          <w:color w:val="auto"/>
        </w:rPr>
        <w:t>. To exercise its Fundamental Change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for a Note following a Fundamental Change, the Holder thereof must deliver to the Paying Agent:</w:t>
      </w:r>
    </w:p>
    <w:p>
      <w:pPr>
        <w:spacing w:after="0" w:line="52" w:lineRule="exact"/>
        <w:rPr>
          <w:rFonts w:ascii="Times New Roman" w:cs="Times New Roman" w:eastAsia="Times New Roman" w:hAnsi="Times New Roman"/>
          <w:sz w:val="18"/>
          <w:szCs w:val="18"/>
          <w:color w:val="auto"/>
        </w:rPr>
      </w:pPr>
    </w:p>
    <w:p>
      <w:pPr>
        <w:ind w:left="980" w:right="60" w:firstLine="408"/>
        <w:spacing w:after="0" w:line="312" w:lineRule="auto"/>
        <w:tabs>
          <w:tab w:leader="none" w:pos="1636"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31"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duly endorsed for transfer (if such Note is a Physical Note) or by book-entry transfer (if such Note is a Global Note).</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11000"/>
          </w:cols>
          <w:pgMar w:left="440" w:top="266"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Paying Agent will promptly deliver to the Company a copy of each Fundamental Change Repurchase Notice that it receives.</w:t>
      </w:r>
    </w:p>
    <w:p>
      <w:pPr>
        <w:spacing w:after="0" w:line="115" w:lineRule="exact"/>
        <w:rPr>
          <w:sz w:val="20"/>
          <w:szCs w:val="20"/>
          <w:color w:val="auto"/>
        </w:rPr>
      </w:pPr>
    </w:p>
    <w:p>
      <w:pPr>
        <w:ind w:left="680" w:hanging="26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Fundamental Change Repurchase Notices</w:t>
      </w:r>
      <w:r>
        <w:rPr>
          <w:rFonts w:ascii="Times New Roman" w:cs="Times New Roman" w:eastAsia="Times New Roman" w:hAnsi="Times New Roman"/>
          <w:sz w:val="18"/>
          <w:szCs w:val="18"/>
          <w:color w:val="auto"/>
        </w:rPr>
        <w:t>. Each Fundamental Change Repurchase Notice with respect to a Note must state:</w:t>
      </w:r>
    </w:p>
    <w:p>
      <w:pPr>
        <w:spacing w:after="0" w:line="119"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is exercising its Fundamental Change Repurchase Right with respect to such principal amount of such Note;</w:t>
      </w:r>
    </w:p>
    <w:p>
      <w:pPr>
        <w:spacing w:after="0" w:line="115"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Fundamental Change Repurchase Notice must comply with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right="40" w:firstLine="419"/>
        <w:spacing w:after="0" w:line="261" w:lineRule="auto"/>
        <w:tabs>
          <w:tab w:leader="none" w:pos="7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of Fundamental Change Repurchase Notice</w:t>
      </w:r>
      <w:r>
        <w:rPr>
          <w:rFonts w:ascii="Times New Roman" w:cs="Times New Roman" w:eastAsia="Times New Roman" w:hAnsi="Times New Roman"/>
          <w:sz w:val="18"/>
          <w:szCs w:val="18"/>
          <w:color w:val="auto"/>
        </w:rPr>
        <w:t>. A Holder that has delivered a Fundamental Change Repurchase Notice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7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117"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19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if any, that remains subject to such Fundamental Change Repurchase Notice, which must be an Authorized Denomination;</w:t>
      </w:r>
    </w:p>
    <w:p>
      <w:pPr>
        <w:spacing w:after="0" w:line="52" w:lineRule="exact"/>
        <w:rPr>
          <w:sz w:val="20"/>
          <w:szCs w:val="20"/>
          <w:color w:val="auto"/>
        </w:rPr>
      </w:pPr>
    </w:p>
    <w:p>
      <w:pPr>
        <w:jc w:val="both"/>
        <w:ind w:right="280"/>
        <w:spacing w:after="0" w:line="315"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such Note is a Global Note, then such withdrawal notice must comply with the Depositary Procedures (and any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7"/>
          <w:szCs w:val="17"/>
          <w:b w:val="1"/>
          <w:bCs w:val="1"/>
          <w:color w:val="auto"/>
        </w:rPr>
        <w:t>Section 4.02(F)</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0560"/>
          </w:cols>
          <w:pgMar w:left="880" w:top="270" w:right="459" w:bottom="1440" w:gutter="0" w:footer="0" w:header="0"/>
        </w:sectPr>
      </w:pPr>
    </w:p>
    <w:bookmarkStart w:id="47" w:name="page48"/>
    <w:bookmarkEnd w:id="47"/>
    <w:p>
      <w:pPr>
        <w:ind w:left="4" w:right="140" w:firstLine="436"/>
        <w:spacing w:after="0" w:line="271" w:lineRule="auto"/>
        <w:tabs>
          <w:tab w:leader="none" w:pos="739"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Fundamental Change Repurchase Price</w:t>
      </w:r>
      <w:r>
        <w:rPr>
          <w:rFonts w:ascii="Times New Roman" w:cs="Times New Roman" w:eastAsia="Times New Roman" w:hAnsi="Times New Roman"/>
          <w:sz w:val="17"/>
          <w:szCs w:val="17"/>
          <w:color w:val="auto"/>
        </w:rPr>
        <w:t>. Without limiting the Company’s obligation to deposit the Fundamental 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Repurchase Price within the time proscribed by </w:t>
      </w:r>
      <w:r>
        <w:rPr>
          <w:rFonts w:ascii="Times New Roman" w:cs="Times New Roman" w:eastAsia="Times New Roman" w:hAnsi="Times New Roman"/>
          <w:sz w:val="17"/>
          <w:szCs w:val="17"/>
          <w:b w:val="1"/>
          <w:bCs w:val="1"/>
          <w:color w:val="auto"/>
        </w:rPr>
        <w:t>Section 3.01(B)</w:t>
      </w:r>
      <w:r>
        <w:rPr>
          <w:rFonts w:ascii="Times New Roman" w:cs="Times New Roman" w:eastAsia="Times New Roman" w:hAnsi="Times New Roman"/>
          <w:sz w:val="17"/>
          <w:szCs w:val="17"/>
          <w:color w:val="auto"/>
        </w:rPr>
        <w:t>,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Procedures relating to the repurchase, and the delivery to the Paying Agent, of such Holder’s beneficial interest in such Note to be</w:t>
      </w:r>
    </w:p>
    <w:p>
      <w:pPr>
        <w:spacing w:after="0" w:line="9" w:lineRule="exact"/>
        <w:rPr>
          <w:rFonts w:ascii="Times New Roman" w:cs="Times New Roman" w:eastAsia="Times New Roman" w:hAnsi="Times New Roman"/>
          <w:sz w:val="18"/>
          <w:szCs w:val="18"/>
          <w:color w:val="auto"/>
        </w:rPr>
      </w:pPr>
    </w:p>
    <w:p>
      <w:pPr>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 xml:space="preserve">Section 4.02(D) </w:t>
      </w:r>
      <w:r>
        <w:rPr>
          <w:rFonts w:ascii="Times New Roman" w:cs="Times New Roman" w:eastAsia="Times New Roman" w:hAnsi="Times New Roman"/>
          <w:sz w:val="18"/>
          <w:szCs w:val="18"/>
          <w:color w:val="auto"/>
        </w:rPr>
        <w:t>on any Note to be repurchased pursuant to a Repurchase Upon Fundamental Change must be paid pursuant to such proviso regardless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whether 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4.02(G)</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100" w:firstLine="436"/>
        <w:spacing w:after="0" w:line="257" w:lineRule="auto"/>
        <w:tabs>
          <w:tab w:leader="none" w:pos="73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Party May Conduct Repurchase Offer In Lieu of the Company</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be deemed to satisfy its obligations under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if (i) one or more third parties conduct any Repurchase Upon Fundamental Change and related offer to repurchase Notes otherwise required by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in a manner that would have satisfied the requirements of this </w:t>
      </w: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color w:val="auto"/>
        </w:rPr>
        <w:t>if conducted directly by the Company; and (ii) an owner of a beneficial interest in any Note repurchased by such third party or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receive a lesser amount (as a result of withholding or other similar taxes) than such owner would have received had the Company repurchased such Note.</w:t>
      </w:r>
    </w:p>
    <w:p>
      <w:pPr>
        <w:spacing w:after="0" w:line="184" w:lineRule="exact"/>
        <w:rPr>
          <w:rFonts w:ascii="Times New Roman" w:cs="Times New Roman" w:eastAsia="Times New Roman" w:hAnsi="Times New Roman"/>
          <w:sz w:val="18"/>
          <w:szCs w:val="18"/>
          <w:color w:val="auto"/>
        </w:rPr>
      </w:pPr>
    </w:p>
    <w:p>
      <w:pPr>
        <w:ind w:left="4" w:firstLine="436"/>
        <w:spacing w:after="0" w:line="267" w:lineRule="auto"/>
        <w:tabs>
          <w:tab w:leader="none" w:pos="669"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17"/>
          <w:szCs w:val="17"/>
          <w:color w:val="auto"/>
        </w:rPr>
        <w:t>. Notwithstanding anything to the contrary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will not be required to send a Fundamental Change Notice pursuant to </w:t>
      </w:r>
      <w:r>
        <w:rPr>
          <w:rFonts w:ascii="Times New Roman" w:cs="Times New Roman" w:eastAsia="Times New Roman" w:hAnsi="Times New Roman"/>
          <w:sz w:val="17"/>
          <w:szCs w:val="17"/>
          <w:b w:val="1"/>
          <w:bCs w:val="1"/>
          <w:color w:val="auto"/>
        </w:rPr>
        <w:t>Section 4.02(E)</w:t>
      </w:r>
      <w:r>
        <w:rPr>
          <w:rFonts w:ascii="Times New Roman" w:cs="Times New Roman" w:eastAsia="Times New Roman" w:hAnsi="Times New Roman"/>
          <w:sz w:val="17"/>
          <w:szCs w:val="17"/>
          <w:color w:val="auto"/>
        </w:rPr>
        <w:t xml:space="preserve">, or offer to repurchase or repurchase any Notes pursuant to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in connection with a Common Stock Change Event that constitutes a Fundamental Change pursuant to</w:t>
      </w:r>
      <w:r>
        <w:rPr>
          <w:rFonts w:ascii="Times New Roman" w:cs="Times New Roman" w:eastAsia="Times New Roman" w:hAnsi="Times New Roman"/>
          <w:sz w:val="17"/>
          <w:szCs w:val="17"/>
          <w:b w:val="1"/>
          <w:bCs w:val="1"/>
          <w:color w:val="auto"/>
        </w:rPr>
        <w:t xml:space="preserve"> clause (B)(ii) </w:t>
      </w:r>
      <w:r>
        <w:rPr>
          <w:rFonts w:ascii="Times New Roman" w:cs="Times New Roman" w:eastAsia="Times New Roman" w:hAnsi="Times New Roman"/>
          <w:sz w:val="17"/>
          <w:szCs w:val="17"/>
          <w:color w:val="auto"/>
        </w:rPr>
        <w:t>of the definition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 w:cs="Times New Roman" w:eastAsia="Times New Roman" w:hAnsi="Times New Roman"/>
          <w:sz w:val="17"/>
          <w:szCs w:val="17"/>
          <w:b w:val="1"/>
          <w:bCs w:val="1"/>
          <w:color w:val="auto"/>
        </w:rPr>
        <w:t>Section 5.09(A)</w:t>
      </w:r>
      <w:r>
        <w:rPr>
          <w:rFonts w:ascii="Times New Roman" w:cs="Times New Roman" w:eastAsia="Times New Roman" w:hAnsi="Times New Roman"/>
          <w:sz w:val="17"/>
          <w:szCs w:val="17"/>
          <w:color w:val="auto"/>
        </w:rPr>
        <w:t xml:space="preserve"> and, if applicable,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 xml:space="preserve">, into consideration that consists solely of U.S. dollars in an amount per $1,000 aggregate principal amount of Notes that equals or exceeds the Fundamental Change Repurchase Price per $1,000 aggregate principal amount of Notes (which Fundamental Change Repurchase Price will, if any Special Interest or Additional Interest is accruing on the Notes as of the effective date of such Fundamental Change, be calculated assuming that such Fundamental Change Repurchase Price includes accrued and unpaid Special Interest or Additional Interest, as applicable, to, but excluding, the latest possible Fundamental Change Repurchase Date for such Fundamental Change); and (iii) the Company timely sends the notice relating to such Fundamental Change required pursuant to </w:t>
      </w:r>
      <w:r>
        <w:rPr>
          <w:rFonts w:ascii="Times New Roman" w:cs="Times New Roman" w:eastAsia="Times New Roman" w:hAnsi="Times New Roman"/>
          <w:sz w:val="17"/>
          <w:szCs w:val="17"/>
          <w:b w:val="1"/>
          <w:bCs w:val="1"/>
          <w:color w:val="auto"/>
        </w:rPr>
        <w:t>Section 5.01(C)(i)</w:t>
      </w:r>
    </w:p>
    <w:p>
      <w:pPr>
        <w:spacing w:after="0" w:line="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 xml:space="preserve">(3)(b) </w:t>
      </w:r>
      <w:r>
        <w:rPr>
          <w:rFonts w:ascii="Times New Roman" w:cs="Times New Roman" w:eastAsia="Times New Roman" w:hAnsi="Times New Roman"/>
          <w:sz w:val="18"/>
          <w:szCs w:val="18"/>
          <w:color w:val="auto"/>
        </w:rPr>
        <w:t>and includes, in such notice, a statement that the Company is relying on this</w:t>
      </w:r>
      <w:r>
        <w:rPr>
          <w:rFonts w:ascii="Times New Roman" w:cs="Times New Roman" w:eastAsia="Times New Roman" w:hAnsi="Times New Roman"/>
          <w:sz w:val="18"/>
          <w:szCs w:val="18"/>
          <w:b w:val="1"/>
          <w:bCs w:val="1"/>
          <w:color w:val="auto"/>
        </w:rPr>
        <w:t xml:space="preserve"> Section 4.02(I)</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1004"/>
          </w:cols>
          <w:pgMar w:left="436" w:top="268" w:right="459" w:bottom="1440" w:gutter="0" w:footer="0" w:header="0"/>
        </w:sectPr>
      </w:pPr>
    </w:p>
    <w:bookmarkStart w:id="48" w:name="page49"/>
    <w:bookmarkEnd w:id="48"/>
    <w:p>
      <w:pPr>
        <w:ind w:left="4" w:firstLine="436"/>
        <w:spacing w:after="0" w:line="255" w:lineRule="auto"/>
        <w:tabs>
          <w:tab w:leader="none" w:pos="6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Applicable Securities Laws</w:t>
      </w:r>
      <w:r>
        <w:rPr>
          <w:rFonts w:ascii="Times New Roman" w:cs="Times New Roman" w:eastAsia="Times New Roman" w:hAnsi="Times New Roman"/>
          <w:sz w:val="18"/>
          <w:szCs w:val="18"/>
          <w:color w:val="auto"/>
        </w:rPr>
        <w:t>. To the extent applicable, the Company will comply, in all material respects, with all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a Repurchase Upon Fundamental Change in accordance with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modified as necessary by the Company in good faith to permit compliance with such law or regulation.</w:t>
      </w:r>
    </w:p>
    <w:p>
      <w:pPr>
        <w:spacing w:after="0" w:line="182" w:lineRule="exact"/>
        <w:rPr>
          <w:rFonts w:ascii="Times New Roman" w:cs="Times New Roman" w:eastAsia="Times New Roman" w:hAnsi="Times New Roman"/>
          <w:sz w:val="18"/>
          <w:szCs w:val="18"/>
          <w:color w:val="auto"/>
        </w:rPr>
      </w:pPr>
    </w:p>
    <w:p>
      <w:pPr>
        <w:ind w:left="4" w:firstLine="436"/>
        <w:spacing w:after="0" w:line="268" w:lineRule="auto"/>
        <w:tabs>
          <w:tab w:leader="none" w:pos="7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Notes may be repurchased pursuant to a Repurchase Upon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part, but only in Authorized Denominations. Provisions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4.03. R</w:t>
      </w:r>
      <w:r>
        <w:rPr>
          <w:rFonts w:ascii="Times New Roman" w:cs="Times New Roman" w:eastAsia="Times New Roman" w:hAnsi="Times New Roman"/>
          <w:sz w:val="14"/>
          <w:szCs w:val="14"/>
          <w:b w:val="1"/>
          <w:bCs w:val="1"/>
          <w:color w:val="auto"/>
        </w:rPr>
        <w:t>IGHT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EDEEM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300" w:firstLine="436"/>
        <w:spacing w:after="0" w:line="284" w:lineRule="auto"/>
        <w:tabs>
          <w:tab w:leader="none" w:pos="73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 to Redeem Before July 1, 2029 Except Pursuant to a Cleanup Redemption. </w:t>
      </w:r>
      <w:r>
        <w:rPr>
          <w:rFonts w:ascii="Times New Roman" w:cs="Times New Roman" w:eastAsia="Times New Roman" w:hAnsi="Times New Roman"/>
          <w:sz w:val="18"/>
          <w:szCs w:val="18"/>
          <w:color w:val="auto"/>
        </w:rPr>
        <w:t>The Company may not redeem the Notes at its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at any time before July 1, 2029, except pursuant to a Cleanup Redemption.</w:t>
      </w:r>
    </w:p>
    <w:p>
      <w:pPr>
        <w:spacing w:after="0" w:line="156" w:lineRule="exact"/>
        <w:rPr>
          <w:rFonts w:ascii="Times New Roman" w:cs="Times New Roman" w:eastAsia="Times New Roman" w:hAnsi="Times New Roman"/>
          <w:sz w:val="18"/>
          <w:szCs w:val="18"/>
          <w:color w:val="auto"/>
        </w:rPr>
      </w:pPr>
    </w:p>
    <w:p>
      <w:pPr>
        <w:ind w:left="4" w:right="200" w:firstLine="436"/>
        <w:spacing w:after="0" w:line="270" w:lineRule="auto"/>
        <w:tabs>
          <w:tab w:leader="none" w:pos="729"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Right to Redeem the Notes on or After July 1, 2029. </w:t>
      </w:r>
      <w:r>
        <w:rPr>
          <w:rFonts w:ascii="Times New Roman" w:cs="Times New Roman" w:eastAsia="Times New Roman" w:hAnsi="Times New Roman"/>
          <w:sz w:val="17"/>
          <w:szCs w:val="17"/>
          <w:color w:val="auto"/>
        </w:rPr>
        <w:t>Subject to the terms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the Company has the right, at its election,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redeem all, or any portion in an Authorized Denomination, of the Notes, at any time, and from time to time, on a Redemption Date on or after July 1, 2029 and on or before the fortieth (40th) Scheduled Trading Day immediately before the Maturity Date, for a cash purchase price equal to the Redemption Price, but only if (i) the Notes are Freely Tradable as of the related Redemption Notice Date for such Redemption and all accrued and unpaid Additional Interest, if any, has been paid in full as of the first Interest Payment Date occurring on or before such Redemption Notice Date; and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will not call less than all of the outstanding Notes for Provisional Redemption unless the excess of the principal amount of Notes outstanding as of the time the Company sends the related Redemption Notice over the aggregate principal amount of Notes set forth in such Redemption Notice as being subject to such Provisional Redemption is at least seventy five million dollars ($75,000,000). For the avoidance of doubt, the calling of any Notes for Provisional Redemption will constitute a Make-Whole Fundamental Change with respect to such Notes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10984"/>
          </w:cols>
          <w:pgMar w:left="436" w:top="268" w:right="479" w:bottom="1440" w:gutter="0" w:footer="0" w:header="0"/>
        </w:sectPr>
      </w:pPr>
    </w:p>
    <w:bookmarkStart w:id="49" w:name="page50"/>
    <w:bookmarkEnd w:id="49"/>
    <w:p>
      <w:pPr>
        <w:ind w:left="4" w:right="40" w:firstLine="436"/>
        <w:spacing w:after="0" w:line="278" w:lineRule="auto"/>
        <w:tabs>
          <w:tab w:leader="none" w:pos="729"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Cleanup Redemption</w:t>
      </w:r>
      <w:r>
        <w:rPr>
          <w:rFonts w:ascii="Times New Roman" w:cs="Times New Roman" w:eastAsia="Times New Roman" w:hAnsi="Times New Roman"/>
          <w:sz w:val="17"/>
          <w:szCs w:val="17"/>
          <w:color w:val="auto"/>
        </w:rPr>
        <w:t>. Subject to the terms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and without limiting the Company’s right to redeem any Notes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4.03(B)</w:t>
      </w:r>
      <w:r>
        <w:rPr>
          <w:rFonts w:ascii="Times New Roman" w:cs="Times New Roman" w:eastAsia="Times New Roman" w:hAnsi="Times New Roman"/>
          <w:sz w:val="17"/>
          <w:szCs w:val="17"/>
          <w:color w:val="auto"/>
        </w:rPr>
        <w:t>, the Company may redeem all, but not less than all, of the Notes at any time, for a cash purchase price equal to the Redemption Price, if</w:t>
      </w:r>
    </w:p>
    <w:p>
      <w:pPr>
        <w:spacing w:after="0" w:line="1" w:lineRule="exact"/>
        <w:rPr>
          <w:rFonts w:ascii="Times New Roman" w:cs="Times New Roman" w:eastAsia="Times New Roman" w:hAnsi="Times New Roman"/>
          <w:sz w:val="17"/>
          <w:szCs w:val="17"/>
          <w:color w:val="auto"/>
        </w:rPr>
      </w:pPr>
    </w:p>
    <w:p>
      <w:pPr>
        <w:ind w:left="4" w:right="40" w:hanging="4"/>
        <w:spacing w:after="0" w:line="253"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are Freely Tradable as of the Redemption Notice Date for such Redemption and all accrued and unpaid Additional Interest, if any, has been paid in full as of the first Interest Payment Date occurring on or before such Redemption Notice Date; and (ii) the aggregate principal amount of the Notes that remains outstanding as of the Redemption Notice Date is less than fifteen percent (15%) of the aggregate principal amount of the Notes issued pursuant to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xml:space="preserve"> (including any Notes issued pursuant to the Shoe Option). For the avoidance of doubt, the calling of any Notes for Cleanup Redemption will constitute a Make-Whole Fundamental Change with respect to such Notes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w:t>
      </w:r>
    </w:p>
    <w:p>
      <w:pPr>
        <w:spacing w:after="0" w:line="184" w:lineRule="exact"/>
        <w:rPr>
          <w:rFonts w:ascii="Times New Roman" w:cs="Times New Roman" w:eastAsia="Times New Roman" w:hAnsi="Times New Roman"/>
          <w:sz w:val="18"/>
          <w:szCs w:val="18"/>
          <w:color w:val="auto"/>
        </w:rPr>
      </w:pPr>
    </w:p>
    <w:p>
      <w:pPr>
        <w:ind w:left="4" w:right="140" w:firstLine="436"/>
        <w:spacing w:after="0" w:line="257" w:lineRule="auto"/>
        <w:tabs>
          <w:tab w:leader="none" w:pos="73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Redemption Date (except in the case of an acceleration resulting from a Default by the Company in the payment of the Redemption Price with respect to such Notes), then (i) the Company may not call for Redemption or otherwise redeem any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(ii) the Company will cause any Notes theretofore surrendered for such Redemption to be returned to the Holders thereof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with respect to Global Notes, cancel any instructions for book-entry transfer to the Company, the Trustee or the Paying Agent of the applicable beneficial interests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ind w:left="4" w:right="160" w:firstLine="436"/>
        <w:spacing w:after="0" w:line="257" w:lineRule="auto"/>
        <w:tabs>
          <w:tab w:leader="none" w:pos="71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The Redemption Date for any Redemption will be a Business Day of the Company’s choosing that is no more than sixty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five (65), nor less than forty five (45), Scheduled Trading Days after the Redemption Notice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the Company has elected to settle all Conversions of Notes with a Conversion Date that occurs on or after such Redemption Notice Date and on or before the second (2nd) Business Day immediately before the Redemption Date by Physical Settlement, then the Company may instead elect to choose a Redemption Date that is a Business Day no more than forty five (45), nor less than fifteen (15), calendar days after such Redemption Notice Date.</w:t>
      </w:r>
    </w:p>
    <w:p>
      <w:pPr>
        <w:spacing w:after="0" w:line="182" w:lineRule="exact"/>
        <w:rPr>
          <w:rFonts w:ascii="Times New Roman" w:cs="Times New Roman" w:eastAsia="Times New Roman" w:hAnsi="Times New Roman"/>
          <w:sz w:val="18"/>
          <w:szCs w:val="18"/>
          <w:color w:val="auto"/>
        </w:rPr>
      </w:pPr>
    </w:p>
    <w:p>
      <w:pPr>
        <w:ind w:left="4" w:firstLine="436"/>
        <w:spacing w:after="0" w:line="254" w:lineRule="auto"/>
        <w:tabs>
          <w:tab w:leader="none" w:pos="70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The Redemption Price for any Note called for Redemption is an amount in cash equal to the principal amount of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plus accrued and unpaid Special Interest and Additional Interest, if any, on such Note to, but excluding, the Redemption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any payment of Special Interest or Additional Interest is due in respect of any Interest Payment Date and such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is after the related Interest Record Date and on or before such Interest Payment Date, then (i) the Holder of such Note at the Close of Business on such Interest Record Date will be entitled, notwithstanding such Redemption, to receive, on or, at the Company’s election, before such Interest Payment Date, such payment of Special Interest or Additional Interest, as applicable (assuming, solely for these purposes, that such Note remained outstanding through such Interest Payment Date, if such Redemption Date is before such Interest Payment Date); and (ii) the Redemption Price will not include accrued and unpaid Special Interest or Additional Interest on such Note to, but excluding, such Redemption Date. For the avoidance of doubt, if such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Redemption Date occurs on the Business Day immediately after such Interest Payment Date, then (x) such accrued and unpaid Special Interest or Additional Interest, as</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004"/>
          </w:cols>
          <w:pgMar w:left="436" w:top="266" w:right="459" w:bottom="1440" w:gutter="0" w:footer="0" w:header="0"/>
        </w:sectPr>
      </w:pPr>
    </w:p>
    <w:bookmarkStart w:id="50" w:name="page51"/>
    <w:bookmarkEnd w:id="50"/>
    <w:p>
      <w:pPr>
        <w:ind w:right="2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Interest Record Date; and (y) the Redemption Price will include Special Interest and Additional Interest, if any, on Notes to be redeemed from, and including, such Interest Payment Date.</w:t>
      </w:r>
    </w:p>
    <w:p>
      <w:pPr>
        <w:spacing w:after="0" w:line="173" w:lineRule="exact"/>
        <w:rPr>
          <w:sz w:val="20"/>
          <w:szCs w:val="20"/>
          <w:color w:val="auto"/>
        </w:rPr>
      </w:pPr>
    </w:p>
    <w:p>
      <w:pPr>
        <w:ind w:right="620" w:firstLine="436"/>
        <w:spacing w:after="0" w:line="284" w:lineRule="auto"/>
        <w:tabs>
          <w:tab w:leader="none" w:pos="7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Notice</w:t>
      </w:r>
      <w:r>
        <w:rPr>
          <w:rFonts w:ascii="Times New Roman" w:cs="Times New Roman" w:eastAsia="Times New Roman" w:hAnsi="Times New Roman"/>
          <w:sz w:val="18"/>
          <w:szCs w:val="18"/>
          <w:color w:val="auto"/>
        </w:rPr>
        <w:t>. To call any Notes for Redemption, the Company must send to each Holder of such Notes a written notice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Redemption Notice must state:</w:t>
      </w:r>
    </w:p>
    <w:p>
      <w:pPr>
        <w:spacing w:after="0" w:line="117" w:lineRule="exact"/>
        <w:rPr>
          <w:sz w:val="20"/>
          <w:szCs w:val="20"/>
          <w:color w:val="auto"/>
        </w:rPr>
      </w:pPr>
    </w:p>
    <w:p>
      <w:pPr>
        <w:ind w:left="1080" w:hanging="221"/>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Notes have been called for Redemption, briefly describing the Company’s Redemption right under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for such Redemption;</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9" w:lineRule="auto"/>
        <w:tabs>
          <w:tab w:leader="none" w:pos="117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Redemption Price per $1,000 principal amount of Notes for such Redemption (and, if any Special Interest or Additional Interest is payable in respect of an Interest Payment Date and the Redemption Date is after the related Interest Record Date and on or before such Interest Payment Date, the amount, manner and timing of the interest payment payable pursuant to the proviso to the first sentence of </w:t>
      </w:r>
      <w:r>
        <w:rPr>
          <w:rFonts w:ascii="Times New Roman" w:cs="Times New Roman" w:eastAsia="Times New Roman" w:hAnsi="Times New Roman"/>
          <w:sz w:val="17"/>
          <w:szCs w:val="17"/>
          <w:b w:val="1"/>
          <w:bCs w:val="1"/>
          <w:color w:val="auto"/>
        </w:rPr>
        <w:t>Section 4.03(F)</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1160" w:hanging="301"/>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spacing w:after="0" w:line="6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2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Method that will apply to all Conversions of Notes with a Conversion Date that occurs on or after such Redemption Notice Date and on or before the second (2nd) Business Day before such Redemption Date; and</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On or before the Redemption Notice Date, the Company will send a copy of such Redemption Notice to the Trustee, the Conversion Agent and the Paying Agent.</w:t>
      </w:r>
    </w:p>
    <w:p>
      <w:pPr>
        <w:spacing w:after="0" w:line="160" w:lineRule="exact"/>
        <w:rPr>
          <w:sz w:val="20"/>
          <w:szCs w:val="20"/>
          <w:color w:val="auto"/>
        </w:rPr>
      </w:pPr>
    </w:p>
    <w:p>
      <w:pPr>
        <w:ind w:left="740" w:hanging="304"/>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and Conversion of Notes to Be Redeemed in Part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0960"/>
          </w:cols>
          <w:pgMar w:left="440" w:top="266" w:right="499" w:bottom="1440" w:gutter="0" w:footer="0" w:header="0"/>
        </w:sectPr>
      </w:pPr>
    </w:p>
    <w:bookmarkStart w:id="51" w:name="page52"/>
    <w:bookmarkEnd w:id="51"/>
    <w:p>
      <w:pPr>
        <w:ind w:left="440" w:right="60" w:firstLine="419"/>
        <w:spacing w:after="0" w:line="282" w:lineRule="auto"/>
        <w:tabs>
          <w:tab w:leader="none" w:pos="112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only a portion of a Note is subject to Redemption and such Note is Converted in part, then the Converted portion of such Note will be deemed to be from the portion of such Note that was subject to Redemption.</w:t>
      </w:r>
    </w:p>
    <w:p>
      <w:pPr>
        <w:spacing w:after="0" w:line="159"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Redemption Price</w:t>
      </w:r>
      <w:r>
        <w:rPr>
          <w:rFonts w:ascii="Times New Roman" w:cs="Times New Roman" w:eastAsia="Times New Roman" w:hAnsi="Times New Roman"/>
          <w:sz w:val="18"/>
          <w:szCs w:val="18"/>
          <w:color w:val="auto"/>
        </w:rPr>
        <w:t>. Without limiting the Company’s obligation to deposit the Redemption Price by the time proscribed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the Company will cause the Redemption Price for a Note (or portion thereof) subject to Redemption to be paid to the Holder thereof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before the applicable Redemption Date.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on any Note (or portion thereof) subject to Redemption must be paid pursuant to such proviso.</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for Partial Calls</w:t>
      </w:r>
      <w:r>
        <w:rPr>
          <w:rFonts w:ascii="Times New Roman" w:cs="Times New Roman" w:eastAsia="Times New Roman" w:hAnsi="Times New Roman"/>
          <w:sz w:val="18"/>
          <w:szCs w:val="18"/>
          <w:color w:val="auto"/>
        </w:rPr>
        <w:t>. If the Company elects to redeem less than all of the outstanding Notes pursuant to a Provisional</w:t>
      </w:r>
    </w:p>
    <w:p>
      <w:pPr>
        <w:spacing w:after="0" w:line="2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 and the Holder of any Note, or any owner of a beneficial interest in any Global Note, is reasonably not able to determine, before the Close of Business on the forty second (42nd) Scheduled Trading Day (or,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xml:space="preserve">, the Company has elected to settle all Conversions of Notes with a Conversion Date that occurs on or after the Redemption Notice Date for such Provisional Redemption and on or before the second (2nd) Business Day immediately before the Redemption Date by Physical Settlement, the tenth (10th) calendar day) immediately before the Redemption Date for such Provisional Redemption, whether such Note or beneficial interest, as applicable, is to be redeemed pursuant to such Provisional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Provisional Redemption for purposes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Sections 5.01(C)(i)(4)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xml:space="preserve">. For the avoidance of doubt, each reference in this Indenture or the Notes to (x) any Note that is called for Provisional Redemption (or similar language) includes any Note that is deemed to be called for Provisional Redemption pursuant to this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and (y) any Note that is not called for Provisional Redemption (or similar language) excludes any Note that is deemed to be called for Provisional Redemption pursuant to this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60" w:firstLine="436"/>
        <w:spacing w:after="0" w:line="268" w:lineRule="auto"/>
        <w:tabs>
          <w:tab w:leader="none" w:pos="7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Repurchases or Other Acquisitions Other Than by Redemption Not Affected</w:t>
      </w:r>
      <w:r>
        <w:rPr>
          <w:rFonts w:ascii="Times New Roman" w:cs="Times New Roman" w:eastAsia="Times New Roman" w:hAnsi="Times New Roman"/>
          <w:sz w:val="18"/>
          <w:szCs w:val="18"/>
          <w:color w:val="auto"/>
        </w:rPr>
        <w:t>. For the avoidance of doubt,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or otherwise apply to any repurchase or other acquisition, by the Company or its Affiliates, or any other Person, of any Notes not by Redemption (including in open market transactions, private or public tender or exchange offers or otherwise).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 THE CONVERSION OF NOTES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R</w:t>
      </w:r>
      <w:r>
        <w:rPr>
          <w:rFonts w:ascii="Times New Roman" w:cs="Times New Roman" w:eastAsia="Times New Roman" w:hAnsi="Times New Roman"/>
          <w:sz w:val="14"/>
          <w:szCs w:val="14"/>
          <w:b w:val="1"/>
          <w:bCs w:val="1"/>
          <w:color w:val="auto"/>
        </w:rPr>
        <w:t>IGHT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820" w:firstLine="436"/>
        <w:spacing w:after="0" w:line="286" w:lineRule="auto"/>
        <w:tabs>
          <w:tab w:leader="none" w:pos="7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each Holder may, at its option, Convert such Holder’s Notes into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w:t>
      </w:r>
    </w:p>
    <w:p>
      <w:pPr>
        <w:spacing w:after="0" w:line="156" w:lineRule="exact"/>
        <w:rPr>
          <w:rFonts w:ascii="Times New Roman" w:cs="Times New Roman" w:eastAsia="Times New Roman" w:hAnsi="Times New Roman"/>
          <w:sz w:val="18"/>
          <w:szCs w:val="18"/>
          <w:color w:val="auto"/>
        </w:rPr>
      </w:pPr>
    </w:p>
    <w:p>
      <w:pPr>
        <w:jc w:val="both"/>
        <w:ind w:right="760" w:firstLine="436"/>
        <w:spacing w:after="0" w:line="315" w:lineRule="auto"/>
        <w:tabs>
          <w:tab w:leader="none" w:pos="72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Conversions in Part</w:t>
      </w:r>
      <w:r>
        <w:rPr>
          <w:rFonts w:ascii="Times New Roman" w:cs="Times New Roman" w:eastAsia="Times New Roman" w:hAnsi="Times New Roman"/>
          <w:sz w:val="17"/>
          <w:szCs w:val="17"/>
          <w:color w:val="auto"/>
        </w:rPr>
        <w:t>. Subject to the terms of this Indenture, Notes may be Converted in part, but only in Authorized Denominations.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Provisions of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applying to the Conversion of a Note in whole will equally apply to Conversions of a permitted portion of a Note.</w:t>
      </w:r>
    </w:p>
    <w:p>
      <w:pPr>
        <w:spacing w:after="0" w:line="69"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0980"/>
          </w:cols>
          <w:pgMar w:left="440" w:top="270" w:right="479" w:bottom="1440" w:gutter="0" w:footer="0" w:header="0"/>
        </w:sectPr>
      </w:pPr>
    </w:p>
    <w:bookmarkStart w:id="52" w:name="page53"/>
    <w:bookmarkEnd w:id="52"/>
    <w:p>
      <w:pPr>
        <w:ind w:left="284" w:hanging="284"/>
        <w:spacing w:after="0"/>
        <w:tabs>
          <w:tab w:leader="none" w:pos="2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Notes May Be Converted</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5.01(C)(ii)</w:t>
      </w:r>
      <w:r>
        <w:rPr>
          <w:rFonts w:ascii="Times New Roman" w:cs="Times New Roman" w:eastAsia="Times New Roman" w:hAnsi="Times New Roman"/>
          <w:sz w:val="18"/>
          <w:szCs w:val="18"/>
          <w:color w:val="auto"/>
        </w:rPr>
        <w:t>, a Note may be Converted only in the following circumstances:</w:t>
      </w:r>
    </w:p>
    <w:p>
      <w:pPr>
        <w:spacing w:after="0" w:line="119" w:lineRule="exact"/>
        <w:rPr>
          <w:rFonts w:ascii="Times New Roman" w:cs="Times New Roman" w:eastAsia="Times New Roman" w:hAnsi="Times New Roman"/>
          <w:sz w:val="18"/>
          <w:szCs w:val="18"/>
          <w:color w:val="auto"/>
        </w:rPr>
      </w:pPr>
    </w:p>
    <w:p>
      <w:pPr>
        <w:ind w:left="544" w:right="20" w:firstLine="408"/>
        <w:spacing w:after="0" w:line="257" w:lineRule="auto"/>
        <w:tabs>
          <w:tab w:leader="none" w:pos="1199"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Satisfaction of Common Stock Sale Price Condition</w:t>
      </w:r>
      <w:r>
        <w:rPr>
          <w:rFonts w:ascii="Times New Roman" w:cs="Times New Roman" w:eastAsia="Times New Roman" w:hAnsi="Times New Roman"/>
          <w:sz w:val="18"/>
          <w:szCs w:val="18"/>
          <w:color w:val="auto"/>
        </w:rPr>
        <w:t>. Before the Close of Business on the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April 1, 2031, a Holder may Convert its Notes during the thirty (30) consecutive Trading Day period beginning on, and including, the twenty first (21st) Trading Day of any calendar quarter commencing after the calendar quarter ending on September 30, 2026, if the Last Reported Sale Price per share of Common Stock exceeds one hundred and thirty percent (130%) of the Conversion Price for each of at least five (5) Trading Days (whether or not consecutive) during the first twenty (20) consecutive Trading Days of such calendar quarter.</w:t>
      </w:r>
    </w:p>
    <w:p>
      <w:pPr>
        <w:spacing w:after="0" w:line="74" w:lineRule="exact"/>
        <w:rPr>
          <w:rFonts w:ascii="Times New Roman" w:cs="Times New Roman" w:eastAsia="Times New Roman" w:hAnsi="Times New Roman"/>
          <w:sz w:val="18"/>
          <w:szCs w:val="18"/>
          <w:color w:val="auto"/>
        </w:rPr>
      </w:pPr>
    </w:p>
    <w:p>
      <w:pPr>
        <w:ind w:left="544" w:right="120" w:firstLine="408"/>
        <w:spacing w:after="0" w:line="277" w:lineRule="auto"/>
        <w:tabs>
          <w:tab w:leader="none" w:pos="1199" w:val="left"/>
        </w:tabs>
        <w:numPr>
          <w:ilvl w:val="3"/>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Upon Satisfaction of Note Trading Price Condition</w:t>
      </w:r>
      <w:r>
        <w:rPr>
          <w:rFonts w:ascii="Times New Roman" w:cs="Times New Roman" w:eastAsia="Times New Roman" w:hAnsi="Times New Roman"/>
          <w:sz w:val="17"/>
          <w:szCs w:val="17"/>
          <w:color w:val="auto"/>
        </w:rPr>
        <w:t>. Before the Close of Business on the Business Day immediately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before April 1, 2031, a Holder may Convert its Notes during the five (5) consecutive Business Days immediately after any ten</w:t>
      </w:r>
    </w:p>
    <w:p>
      <w:pPr>
        <w:spacing w:after="0" w:line="1" w:lineRule="exact"/>
        <w:rPr>
          <w:rFonts w:ascii="Times New Roman" w:cs="Times New Roman" w:eastAsia="Times New Roman" w:hAnsi="Times New Roman"/>
          <w:sz w:val="17"/>
          <w:szCs w:val="17"/>
          <w:color w:val="auto"/>
        </w:rPr>
      </w:pPr>
    </w:p>
    <w:p>
      <w:pPr>
        <w:ind w:left="544" w:right="20" w:firstLine="7"/>
        <w:spacing w:after="0" w:line="253" w:lineRule="auto"/>
        <w:tabs>
          <w:tab w:leader="none" w:pos="88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(such ten (10)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44"/>
        <w:spacing w:after="0" w:line="253" w:lineRule="auto"/>
        <w:rPr>
          <w:sz w:val="20"/>
          <w:szCs w:val="20"/>
          <w:color w:val="auto"/>
        </w:rPr>
      </w:pPr>
      <w:r>
        <w:rPr>
          <w:rFonts w:ascii="Times New Roman" w:cs="Times New Roman" w:eastAsia="Times New Roman" w:hAnsi="Times New Roman"/>
          <w:sz w:val="18"/>
          <w:szCs w:val="18"/>
          <w:color w:val="auto"/>
        </w:rPr>
        <w:t xml:space="preserve">The Trading Price will be determined by the Bid Solicitation Agent pursuant to this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or Holders of at least five million dollars ($5,000,000) aggregate principal amount of Notes (or such lesser amount as may then be outstanding) provides the Company with reasonable evidence that the Trading Price per $1,000 principal amount of Notes would be less than ninety eight percent (98%) of the product of the Last Reported Sale Price per share of Common Stock and the Conversion Rate. If such Holder(s) provide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w:t>
      </w:r>
    </w:p>
    <w:p>
      <w:pPr>
        <w:spacing w:after="0" w:line="12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0524"/>
          </w:cols>
          <w:pgMar w:left="876" w:top="268" w:right="499" w:bottom="1440" w:gutter="0" w:footer="0" w:header="0"/>
        </w:sectPr>
      </w:pPr>
    </w:p>
    <w:bookmarkStart w:id="53" w:name="page54"/>
    <w:bookmarkEnd w:id="5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66" w:lineRule="exact"/>
        <w:rPr>
          <w:sz w:val="20"/>
          <w:szCs w:val="20"/>
          <w:color w:val="auto"/>
        </w:rPr>
      </w:pPr>
    </w:p>
    <w:p>
      <w:pPr>
        <w:ind w:left="660" w:hanging="2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Specified Corporate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391"/>
        <w:spacing w:after="0" w:line="284" w:lineRule="auto"/>
        <w:tabs>
          <w:tab w:leader="none" w:pos="10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Distributions</w:t>
      </w:r>
      <w:r>
        <w:rPr>
          <w:rFonts w:ascii="Times New Roman" w:cs="Times New Roman" w:eastAsia="Times New Roman" w:hAnsi="Times New Roman"/>
          <w:sz w:val="18"/>
          <w:szCs w:val="18"/>
          <w:color w:val="auto"/>
        </w:rPr>
        <w:t>. If, before the Close of Business on the Business Day immediately before April 1, 2031,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elects to:</w:t>
      </w:r>
    </w:p>
    <w:p>
      <w:pPr>
        <w:spacing w:after="0" w:line="52" w:lineRule="exact"/>
        <w:rPr>
          <w:rFonts w:ascii="Times New Roman" w:cs="Times New Roman" w:eastAsia="Times New Roman" w:hAnsi="Times New Roman"/>
          <w:sz w:val="18"/>
          <w:szCs w:val="18"/>
          <w:color w:val="auto"/>
        </w:rPr>
      </w:pPr>
    </w:p>
    <w:p>
      <w:pPr>
        <w:ind w:left="1000" w:right="40" w:firstLine="360"/>
        <w:spacing w:after="0" w:line="254" w:lineRule="auto"/>
        <w:tabs>
          <w:tab w:leader="none" w:pos="158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upon their separation from the Common Stock or upon the occurrence of such triggering event) entitling them,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period of not more than sixty (60) calendar days after the date such distribution is first publicly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first publicly announced (determined in the manner set forth in the third paragraph of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or</w:t>
      </w:r>
    </w:p>
    <w:p>
      <w:pPr>
        <w:spacing w:after="0" w:line="80" w:lineRule="exact"/>
        <w:rPr>
          <w:sz w:val="20"/>
          <w:szCs w:val="20"/>
          <w:color w:val="auto"/>
        </w:rPr>
      </w:pPr>
    </w:p>
    <w:p>
      <w:pPr>
        <w:ind w:left="1000" w:right="100" w:firstLine="360"/>
        <w:spacing w:after="0" w:line="261" w:lineRule="auto"/>
        <w:tabs>
          <w:tab w:leader="none" w:pos="16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Common Stock, assets or securities of the Company or rights to purchase the Company’s securities, which distribution per share of Common Stock has a value, as reasonably determined by the Company in good faith, exceeding ten percent (10%) of the Last Reported Sale Price per share of Common Stock on the Trading Day immediately before the date such distribution is first publicly announced,</w:t>
      </w:r>
    </w:p>
    <w:p>
      <w:pPr>
        <w:spacing w:after="0" w:line="72"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then, in either case, (x) the Company will send notice of such distribution, and of the related right to Convert Notes, to Holders, the Trustee and the Conversion Agent at least forty five (45) Scheduled Trading Days before the Ex-Dividend Date for such distribution (or, if later in the case of any such separation of rights issued pursuant to a stockholder rights plan or the occurrence of any such triggering event under a stockholder rights plan, no later than the Business Day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w:t>
      </w:r>
    </w:p>
    <w:p>
      <w:pPr>
        <w:spacing w:after="0" w:line="1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0040"/>
          </w:cols>
          <w:pgMar w:left="1420" w:top="270" w:right="439" w:bottom="1440" w:gutter="0" w:footer="0" w:header="0"/>
        </w:sectPr>
      </w:pPr>
    </w:p>
    <w:bookmarkStart w:id="54" w:name="page55"/>
    <w:bookmarkEnd w:id="54"/>
    <w:p>
      <w:pPr>
        <w:ind w:lef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will not take place;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Notes will not become Convertible pursuant to </w:t>
      </w:r>
      <w:r>
        <w:rPr>
          <w:rFonts w:ascii="Times New Roman" w:cs="Times New Roman" w:eastAsia="Times New Roman" w:hAnsi="Times New Roman"/>
          <w:sz w:val="18"/>
          <w:szCs w:val="18"/>
          <w:b w:val="1"/>
          <w:bCs w:val="1"/>
          <w:color w:val="auto"/>
        </w:rPr>
        <w:t>clause (y)</w:t>
      </w:r>
      <w:r>
        <w:rPr>
          <w:rFonts w:ascii="Times New Roman" w:cs="Times New Roman" w:eastAsia="Times New Roman" w:hAnsi="Times New Roman"/>
          <w:sz w:val="18"/>
          <w:szCs w:val="18"/>
          <w:color w:val="auto"/>
        </w:rPr>
        <w:t xml:space="preserve">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Company is then otherwise permitted to settle Conversions of Notes by Physical Settlement (and,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avoidance of doubt, the Company has not elected another Settlement Method to apply, including pursuant to </w:t>
      </w:r>
      <w:r>
        <w:rPr>
          <w:rFonts w:ascii="Times New Roman" w:cs="Times New Roman" w:eastAsia="Times New Roman" w:hAnsi="Times New Roman"/>
          <w:sz w:val="18"/>
          <w:szCs w:val="18"/>
          <w:b w:val="1"/>
          <w:bCs w:val="1"/>
          <w:color w:val="auto"/>
        </w:rPr>
        <w:t>Section 5.03(A)(i)(1)</w:t>
      </w:r>
      <w:r>
        <w:rPr>
          <w:rFonts w:ascii="Times New Roman" w:cs="Times New Roman" w:eastAsia="Times New Roman" w:hAnsi="Times New Roman"/>
          <w:sz w:val="18"/>
          <w:szCs w:val="18"/>
          <w:color w:val="auto"/>
        </w:rPr>
        <w:t>),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spacing w:after="0" w:line="84" w:lineRule="exact"/>
        <w:rPr>
          <w:sz w:val="20"/>
          <w:szCs w:val="20"/>
          <w:color w:val="auto"/>
        </w:rPr>
      </w:pPr>
    </w:p>
    <w:p>
      <w:pPr>
        <w:ind w:left="420" w:right="20" w:firstLine="391"/>
        <w:spacing w:after="0" w:line="253" w:lineRule="auto"/>
        <w:tabs>
          <w:tab w:leader="none" w:pos="10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Corporate Events</w:t>
      </w:r>
      <w:r>
        <w:rPr>
          <w:rFonts w:ascii="Times New Roman" w:cs="Times New Roman" w:eastAsia="Times New Roman" w:hAnsi="Times New Roman"/>
          <w:sz w:val="18"/>
          <w:szCs w:val="18"/>
          <w:color w:val="auto"/>
        </w:rPr>
        <w:t>. If, before the Close of Business on the Business Day immediately before April 1, 2031,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Make-Whole Fundamental Change (other than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last day will not be extended beyond the second (2nd) Scheduled Trading Day immediately before the Maturity Date. No later than the Business Day after such effective date, the Company will send notice to the Holders, the Trustee and the Conversion Agent of such transaction or event, such effective date and the related right to Convert Notes.</w:t>
      </w:r>
    </w:p>
    <w:p>
      <w:pPr>
        <w:spacing w:after="0" w:line="11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ectPr>
          <w:pgSz w:w="11900" w:h="16838" w:orient="portrait"/>
          <w:cols w:equalWidth="0" w:num="1">
            <w:col w:w="10000"/>
          </w:cols>
          <w:pgMar w:left="1440" w:top="266" w:right="459" w:bottom="1440" w:gutter="0" w:footer="0" w:header="0"/>
        </w:sectPr>
      </w:pPr>
    </w:p>
    <w:bookmarkStart w:id="55" w:name="page56"/>
    <w:bookmarkEnd w:id="55"/>
    <w:p>
      <w:pPr>
        <w:jc w:val="both"/>
        <w:ind w:left="980" w:right="120" w:firstLine="408"/>
        <w:spacing w:after="0" w:line="261" w:lineRule="auto"/>
        <w:tabs>
          <w:tab w:leader="none" w:pos="1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Upon Redemption</w:t>
      </w:r>
      <w:r>
        <w:rPr>
          <w:rFonts w:ascii="Times New Roman" w:cs="Times New Roman" w:eastAsia="Times New Roman" w:hAnsi="Times New Roman"/>
          <w:sz w:val="18"/>
          <w:szCs w:val="18"/>
          <w:color w:val="auto"/>
        </w:rPr>
        <w:t>. If the Company calls any Note for Redemption, then the Holder of such Note may Convert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w:t>
      </w:r>
    </w:p>
    <w:p>
      <w:pPr>
        <w:spacing w:after="0" w:line="71" w:lineRule="exact"/>
        <w:rPr>
          <w:rFonts w:ascii="Times New Roman" w:cs="Times New Roman" w:eastAsia="Times New Roman" w:hAnsi="Times New Roman"/>
          <w:sz w:val="18"/>
          <w:szCs w:val="18"/>
          <w:color w:val="auto"/>
        </w:rPr>
      </w:pPr>
    </w:p>
    <w:p>
      <w:pPr>
        <w:ind w:left="980" w:firstLine="408"/>
        <w:spacing w:after="0" w:line="267" w:lineRule="auto"/>
        <w:tabs>
          <w:tab w:leader="none" w:pos="1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During Free Convertibility Period</w:t>
      </w:r>
      <w:r>
        <w:rPr>
          <w:rFonts w:ascii="Times New Roman" w:cs="Times New Roman" w:eastAsia="Times New Roman" w:hAnsi="Times New Roman"/>
          <w:sz w:val="18"/>
          <w:szCs w:val="18"/>
          <w:color w:val="auto"/>
        </w:rPr>
        <w:t>. A Holder may Convert its Notes at any time from, and including, April 1, 2031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the Close of Business on the second (2nd) Scheduled Trading Day immediately before the Maturity Date regardless of the conditions set forth in paragraphs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avoidance of doubt, the Notes may become Convertible pursuant to any one or more of the preceding sub-paragraphs of this</w:t>
      </w:r>
    </w:p>
    <w:p>
      <w:pPr>
        <w:spacing w:after="0" w:line="27" w:lineRule="exact"/>
        <w:rPr>
          <w:sz w:val="20"/>
          <w:szCs w:val="20"/>
          <w:color w:val="auto"/>
        </w:rPr>
      </w:pPr>
    </w:p>
    <w:p>
      <w:pPr>
        <w:ind w:left="440" w:right="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Section 5.01(C)(i) </w:t>
      </w:r>
      <w:r>
        <w:rPr>
          <w:rFonts w:ascii="Times New Roman" w:cs="Times New Roman" w:eastAsia="Times New Roman" w:hAnsi="Times New Roman"/>
          <w:sz w:val="18"/>
          <w:szCs w:val="18"/>
          <w:color w:val="auto"/>
        </w:rPr>
        <w:t>and the Notes ceasing to be Convertible pursuant to a particular sub-paragraph of this</w:t>
      </w:r>
      <w:r>
        <w:rPr>
          <w:rFonts w:ascii="Times New Roman" w:cs="Times New Roman" w:eastAsia="Times New Roman" w:hAnsi="Times New Roman"/>
          <w:sz w:val="18"/>
          <w:szCs w:val="18"/>
          <w:b w:val="1"/>
          <w:bCs w:val="1"/>
          <w:color w:val="auto"/>
        </w:rPr>
        <w:t xml:space="preserve"> Section 5.01(C)(i) </w:t>
      </w:r>
      <w:r>
        <w:rPr>
          <w:rFonts w:ascii="Times New Roman" w:cs="Times New Roman" w:eastAsia="Times New Roman" w:hAnsi="Times New Roman"/>
          <w:sz w:val="18"/>
          <w:szCs w:val="18"/>
          <w:color w:val="auto"/>
        </w:rPr>
        <w:t>will not preclude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Notes from being Convertible pursuant to any other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1120" w:hanging="261"/>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 Indenture or the Notes:</w:t>
      </w:r>
    </w:p>
    <w:p>
      <w:pPr>
        <w:spacing w:after="0" w:line="115" w:lineRule="exact"/>
        <w:rPr>
          <w:rFonts w:ascii="Times New Roman" w:cs="Times New Roman" w:eastAsia="Times New Roman" w:hAnsi="Times New Roman"/>
          <w:sz w:val="18"/>
          <w:szCs w:val="18"/>
          <w:color w:val="auto"/>
        </w:rPr>
      </w:pPr>
    </w:p>
    <w:p>
      <w:pPr>
        <w:ind w:left="980" w:right="20" w:firstLine="408"/>
        <w:spacing w:after="0" w:line="286" w:lineRule="auto"/>
        <w:tabs>
          <w:tab w:leader="none" w:pos="16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may be surrendered for Conversion during a period when the Notes are Convertible pursuant to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xml:space="preserve"> only after the Open of Business and before the Close of Business on a day that is a Business Day;</w:t>
      </w:r>
    </w:p>
    <w:p>
      <w:pPr>
        <w:spacing w:after="0" w:line="50"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any Note be Converted after the Close of Business on the second (2nd) Scheduled Trading Day immediately before the Maturity Date;</w:t>
      </w:r>
    </w:p>
    <w:p>
      <w:pPr>
        <w:spacing w:after="0" w:line="49" w:lineRule="exact"/>
        <w:rPr>
          <w:rFonts w:ascii="Times New Roman" w:cs="Times New Roman" w:eastAsia="Times New Roman" w:hAnsi="Times New Roman"/>
          <w:sz w:val="18"/>
          <w:szCs w:val="18"/>
          <w:color w:val="auto"/>
        </w:rPr>
      </w:pPr>
    </w:p>
    <w:p>
      <w:pPr>
        <w:jc w:val="both"/>
        <w:ind w:left="980" w:right="300" w:firstLine="408"/>
        <w:spacing w:after="0" w:line="268" w:lineRule="auto"/>
        <w:tabs>
          <w:tab w:leader="none" w:pos="16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calls any Note for Redemption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spacing w:after="0" w:line="62" w:lineRule="exact"/>
        <w:rPr>
          <w:rFonts w:ascii="Times New Roman" w:cs="Times New Roman" w:eastAsia="Times New Roman" w:hAnsi="Times New Roman"/>
          <w:sz w:val="18"/>
          <w:szCs w:val="18"/>
          <w:color w:val="auto"/>
        </w:rPr>
      </w:pPr>
    </w:p>
    <w:p>
      <w:pPr>
        <w:ind w:left="980" w:right="20" w:firstLine="408"/>
        <w:spacing w:after="0" w:line="262" w:lineRule="auto"/>
        <w:tabs>
          <w:tab w:leader="none" w:pos="16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Fundamental Change Repurchase Notice is validly delivered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with respect to any Note, then such Note may not be Converted, except to the extent (a) such Note is not subject to such notice; (b) such notice is withdrawn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or (c) the Company fails to pay the Fundamental Change Repurchase Price for such Note in accordance with this Indenture (or a third party fails to make such payment in lieu of the Company in accordance with </w:t>
      </w:r>
      <w:r>
        <w:rPr>
          <w:rFonts w:ascii="Times New Roman" w:cs="Times New Roman" w:eastAsia="Times New Roman" w:hAnsi="Times New Roman"/>
          <w:sz w:val="18"/>
          <w:szCs w:val="18"/>
          <w:b w:val="1"/>
          <w:bCs w:val="1"/>
          <w:color w:val="auto"/>
        </w:rPr>
        <w:t>Section 4.02(H)</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740" w:hanging="304"/>
        <w:spacing w:after="0"/>
        <w:tabs>
          <w:tab w:leader="none" w:pos="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40" w:right="200" w:firstLine="419"/>
        <w:spacing w:after="0" w:line="268" w:lineRule="auto"/>
        <w:tabs>
          <w:tab w:leader="none" w:pos="10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To Convert a beneficial interest in a Global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owner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beneficial interest must (1) comply with the Depositary Procedures for Converting such beneficial interest (at which time such Conversion will become irrevocable); and (2)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ectPr>
          <w:pgSz w:w="11900" w:h="16838" w:orient="portrait"/>
          <w:cols w:equalWidth="0" w:num="1">
            <w:col w:w="10940"/>
          </w:cols>
          <w:pgMar w:left="440" w:top="268" w:right="519" w:bottom="1440" w:gutter="0" w:footer="0" w:header="0"/>
        </w:sectPr>
      </w:pPr>
    </w:p>
    <w:bookmarkStart w:id="56" w:name="page57"/>
    <w:bookmarkEnd w:id="56"/>
    <w:p>
      <w:pPr>
        <w:ind w:left="444" w:right="80" w:firstLine="419"/>
        <w:spacing w:after="0" w:line="259" w:lineRule="auto"/>
        <w:tabs>
          <w:tab w:leader="none" w:pos="113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Physical Notes</w:t>
      </w:r>
      <w:r>
        <w:rPr>
          <w:rFonts w:ascii="Times New Roman" w:cs="Times New Roman" w:eastAsia="Times New Roman" w:hAnsi="Times New Roman"/>
          <w:sz w:val="18"/>
          <w:szCs w:val="18"/>
          <w:color w:val="auto"/>
        </w:rPr>
        <w:t>. To Convert all or a portion of a Physical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Holder of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4" w:right="80" w:firstLine="436"/>
        <w:spacing w:after="0" w:line="261" w:lineRule="auto"/>
        <w:tabs>
          <w:tab w:leader="none" w:pos="72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Converting a Note</w:t>
      </w:r>
      <w:r>
        <w:rPr>
          <w:rFonts w:ascii="Times New Roman" w:cs="Times New Roman" w:eastAsia="Times New Roman" w:hAnsi="Times New Roman"/>
          <w:sz w:val="18"/>
          <w:szCs w:val="18"/>
          <w:color w:val="auto"/>
        </w:rPr>
        <w:t>. At the Close of Business on the Conversion Date for a Note (or any portion thereof) to be Converted,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such portion) will (unless there occurs a Default in the delivery of the Conversion Consideration or interest, if any,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firstLine="436"/>
        <w:spacing w:after="0" w:line="267" w:lineRule="auto"/>
        <w:tabs>
          <w:tab w:leader="none" w:pos="72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 of Common Stock is issuable upon Conversion of any Note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173" w:lineRule="exact"/>
        <w:rPr>
          <w:rFonts w:ascii="Times New Roman" w:cs="Times New Roman" w:eastAsia="Times New Roman" w:hAnsi="Times New Roman"/>
          <w:sz w:val="18"/>
          <w:szCs w:val="18"/>
          <w:color w:val="auto"/>
        </w:rPr>
      </w:pPr>
    </w:p>
    <w:p>
      <w:pPr>
        <w:ind w:left="4" w:right="20" w:firstLine="436"/>
        <w:spacing w:after="0" w:line="268" w:lineRule="auto"/>
        <w:tabs>
          <w:tab w:leader="none" w:pos="739"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Interest Payable Upon Conversion in Certain Circumstances</w:t>
      </w:r>
      <w:r>
        <w:rPr>
          <w:rFonts w:ascii="Times New Roman" w:cs="Times New Roman" w:eastAsia="Times New Roman" w:hAnsi="Times New Roman"/>
          <w:sz w:val="17"/>
          <w:szCs w:val="17"/>
          <w:color w:val="auto"/>
        </w:rPr>
        <w:t>. If any payment of Special Interest or Additional Interest is due in respect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Interest Payment Date and the Conversion Date of a Note is after the related Interest Record Date and before such Interest Payment Date, then (i) the Holder of such Note at the Close of Business on such Interest Record Date will be entitled, notwithstanding such Conversion (and, for the avoidance of doubt, notwithstanding anything set forth in the proviso to this sentence), to receive, on or, at the Company’s election, before such Interest Payment Date, such payment of Special Interest or Additional Interest, as applicable (assuming, solely for these purposes, that such Note remained outstanding through such Interest Payment Date); and (ii) the Holder surrendering such Note for Conversion must deliver to the Conversion Agent, at the time of such surrender, an amount of cash equal to the amount of such payment of Special Interest or Additional Interest, as applicable referred to in </w:t>
      </w:r>
      <w:r>
        <w:rPr>
          <w:rFonts w:ascii="Times New Roman" w:cs="Times New Roman" w:eastAsia="Times New Roman" w:hAnsi="Times New Roman"/>
          <w:sz w:val="17"/>
          <w:szCs w:val="17"/>
          <w:b w:val="1"/>
          <w:bCs w:val="1"/>
          <w:color w:val="auto"/>
        </w:rPr>
        <w:t>clause</w:t>
      </w:r>
    </w:p>
    <w:p>
      <w:pPr>
        <w:spacing w:after="0" w:line="4" w:lineRule="exact"/>
        <w:rPr>
          <w:rFonts w:ascii="Times New Roman" w:cs="Times New Roman" w:eastAsia="Times New Roman" w:hAnsi="Times New Roman"/>
          <w:sz w:val="17"/>
          <w:szCs w:val="17"/>
          <w:color w:val="auto"/>
        </w:rPr>
      </w:pPr>
    </w:p>
    <w:p>
      <w:pPr>
        <w:ind w:left="4" w:right="60" w:hanging="4"/>
        <w:spacing w:after="0" w:line="265" w:lineRule="auto"/>
        <w:tabs>
          <w:tab w:leader="none" w:pos="219"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above;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Holder surrendering such Note for Conversion need not deliver such cash (v) if the Company has specified a Redemption Date that is after such Interest Record Date and on or before the second (2nd) Business Day immediately after such Interest Payment Date;</w:t>
      </w:r>
    </w:p>
    <w:p>
      <w:pPr>
        <w:ind w:left="304" w:hanging="304"/>
        <w:spacing w:after="0"/>
        <w:tabs>
          <w:tab w:leader="none" w:pos="3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Conversion Date occurs after the Interest Record Date immediately before the Maturity Date; (x) if the Company has specified a</w:t>
      </w:r>
    </w:p>
    <w:p>
      <w:pPr>
        <w:spacing w:after="0" w:line="9" w:lineRule="exact"/>
        <w:rPr>
          <w:rFonts w:ascii="Times New Roman" w:cs="Times New Roman" w:eastAsia="Times New Roman" w:hAnsi="Times New Roman"/>
          <w:sz w:val="18"/>
          <w:szCs w:val="18"/>
          <w:color w:val="auto"/>
        </w:rPr>
      </w:pPr>
    </w:p>
    <w:p>
      <w:pPr>
        <w:ind w:left="4"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Change Repurchase Date that is after such Interest Record Date and on or before the Business Day immediately after such Interest Payment Date; or (y) to the extent of any (A) overdue Special Interest or Additional Interest or (B) Interest that has accrued on any overdue Special Interest or</w:t>
      </w:r>
    </w:p>
    <w:p>
      <w:pPr>
        <w:spacing w:after="0" w:line="11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0984"/>
          </w:cols>
          <w:pgMar w:left="436" w:top="266" w:right="479" w:bottom="1440" w:gutter="0" w:footer="0" w:header="0"/>
        </w:sectPr>
      </w:pPr>
    </w:p>
    <w:bookmarkStart w:id="57" w:name="page58"/>
    <w:bookmarkEnd w:id="57"/>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Interest. For the avoidance of doubt, as a result of, and without limiting the generality of, the foregoing, if a Note is Converted with a Conversion Date that is after the Interest Record Date immediately before the Maturity Date, then the Company will pay, as provided above, Special Interest and Additional Interest, if any, that been due on such Note on the Maturity Date (or, if the Maturity Date is not a Business Day, the next Business Day) had such Note not been Converted. For the avoidance of doubt, if the Conversion Date of a Note to be Converted is on an Interest Payment Date in respect of which any Special Interest or Additional Interest is payable, then the Holder of such Note at the Close of Business on the Interest Record Date immediately before such Interest Payment Date will be entitled to receive, on such Interest Payment Date, such Special Interest or Additional Interest, as applicable, and such Note, when surrendered for Conversion, need not be accompanied by any cash amount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180" w:firstLine="436"/>
        <w:spacing w:after="0" w:line="281" w:lineRule="auto"/>
        <w:tabs>
          <w:tab w:leader="none" w:pos="71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Taxes and Duties</w:t>
      </w:r>
      <w:r>
        <w:rPr>
          <w:rFonts w:ascii="Times New Roman" w:cs="Times New Roman" w:eastAsia="Times New Roman" w:hAnsi="Times New Roman"/>
          <w:sz w:val="17"/>
          <w:szCs w:val="17"/>
          <w:color w:val="auto"/>
        </w:rPr>
        <w:t>. If a Holder Converts a Note, the Company will pay any documentary, stamp or similar issue or transfer tax or duty due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issue or delivery of any shares of Common Stock upon such Conversion, except any tax or duty that is due because such Holder requested such shares to be registered in a name other than the Holder’s name (in which case such Holder will pay such tax or duty), and, until having received a sum sufficient to pay such tax or duty, the Conversion Agent may refuse to deliver any such shares to be issued in a name other than that of such Holder.</w:t>
      </w:r>
    </w:p>
    <w:p>
      <w:pPr>
        <w:spacing w:after="0" w:line="164" w:lineRule="exact"/>
        <w:rPr>
          <w:rFonts w:ascii="Times New Roman" w:cs="Times New Roman" w:eastAsia="Times New Roman" w:hAnsi="Times New Roman"/>
          <w:sz w:val="17"/>
          <w:szCs w:val="17"/>
          <w:color w:val="auto"/>
        </w:rPr>
      </w:pPr>
    </w:p>
    <w:p>
      <w:pPr>
        <w:ind w:firstLine="436"/>
        <w:spacing w:after="0" w:line="261" w:lineRule="auto"/>
        <w:tabs>
          <w:tab w:leader="none" w:pos="70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Agent to Notify Company of Conversions</w:t>
      </w:r>
      <w:r>
        <w:rPr>
          <w:rFonts w:ascii="Times New Roman" w:cs="Times New Roman" w:eastAsia="Times New Roman" w:hAnsi="Times New Roman"/>
          <w:sz w:val="18"/>
          <w:szCs w:val="18"/>
          <w:color w:val="auto"/>
        </w:rPr>
        <w:t>. If any Note is submitted for Conversion to the Conversion Agent or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receives any notice of Conversion with respect to a Note, then the Conversion Agent will promptly (and, in any event, no later than the date the Conversion Agent receives such Note or notice) notify the Company and the Trustee of such occurrence, together with any other information reasonably requested by the Company, and will cooperate with the Company to determine the Conversion Date for such Note.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5.03. S</w:t>
      </w:r>
      <w:r>
        <w:rPr>
          <w:rFonts w:ascii="Times New Roman" w:cs="Times New Roman" w:eastAsia="Times New Roman" w:hAnsi="Times New Roman"/>
          <w:sz w:val="14"/>
          <w:szCs w:val="14"/>
          <w:b w:val="1"/>
          <w:bCs w:val="1"/>
          <w:color w:val="auto"/>
        </w:rPr>
        <w:t>ETTLEMENT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80" w:firstLine="436"/>
        <w:spacing w:after="0" w:line="262" w:lineRule="auto"/>
        <w:tabs>
          <w:tab w:leader="none" w:pos="7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Method</w:t>
      </w:r>
      <w:r>
        <w:rPr>
          <w:rFonts w:ascii="Times New Roman" w:cs="Times New Roman" w:eastAsia="Times New Roman" w:hAnsi="Times New Roman"/>
          <w:sz w:val="18"/>
          <w:szCs w:val="18"/>
          <w:color w:val="auto"/>
        </w:rPr>
        <w:t>. Upon the Conversion of any Note, the Company will settle such Conversion by paying or delivering, as applicable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either (x) shares of Common Stock, together, if applicable, with cash in lieu of fractional shares as provided in</w:t>
      </w:r>
    </w:p>
    <w:p>
      <w:pPr>
        <w:jc w:val="both"/>
        <w:ind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5.03(B)(i)(1)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(y) solely cash as provided in</w:t>
      </w:r>
      <w:r>
        <w:rPr>
          <w:rFonts w:ascii="Times New Roman" w:cs="Times New Roman" w:eastAsia="Times New Roman" w:hAnsi="Times New Roman"/>
          <w:sz w:val="18"/>
          <w:szCs w:val="18"/>
          <w:b w:val="1"/>
          <w:bCs w:val="1"/>
          <w:color w:val="auto"/>
        </w:rPr>
        <w:t xml:space="preserve"> Section 5.03(B)(i)(2)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or (z) a combination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and shares of Common Stock, together, if applicable, with cash in lieu of fractional shares as provided in </w:t>
      </w:r>
      <w:r>
        <w:rPr>
          <w:rFonts w:ascii="Times New Roman" w:cs="Times New Roman" w:eastAsia="Times New Roman" w:hAnsi="Times New Roman"/>
          <w:sz w:val="18"/>
          <w:szCs w:val="18"/>
          <w:b w:val="1"/>
          <w:bCs w:val="1"/>
          <w:color w:val="auto"/>
        </w:rPr>
        <w:t>Section 5.03(B)(i)(3)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380" w:firstLine="419"/>
        <w:spacing w:after="0" w:line="284" w:lineRule="auto"/>
        <w:tabs>
          <w:tab w:leader="none" w:pos="10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Right to Elect Settlement Method</w:t>
      </w:r>
      <w:r>
        <w:rPr>
          <w:rFonts w:ascii="Times New Roman" w:cs="Times New Roman" w:eastAsia="Times New Roman" w:hAnsi="Times New Roman"/>
          <w:sz w:val="18"/>
          <w:szCs w:val="18"/>
          <w:color w:val="auto"/>
        </w:rPr>
        <w:t>. The Company will have the right to elect the Settlement Method applicable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of a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48" w:lineRule="exact"/>
        <w:rPr>
          <w:rFonts w:ascii="Times New Roman" w:cs="Times New Roman" w:eastAsia="Times New Roman" w:hAnsi="Times New Roman"/>
          <w:sz w:val="18"/>
          <w:szCs w:val="18"/>
          <w:color w:val="auto"/>
        </w:rPr>
      </w:pPr>
    </w:p>
    <w:p>
      <w:pPr>
        <w:ind w:left="980" w:right="80" w:firstLine="408"/>
        <w:spacing w:after="0" w:line="268" w:lineRule="auto"/>
        <w:tabs>
          <w:tab w:leader="none" w:pos="163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all Conversions of Notes with a Conversion Date that occurs on or after April 1, 2031 will be settled using the same Settlement Method, and the Company will send notice of such Settlement Method to Holders no later than the Open of Business on April 1, 2031;</w:t>
      </w:r>
    </w:p>
    <w:p>
      <w:pPr>
        <w:spacing w:after="0" w:line="10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ectPr>
          <w:pgSz w:w="11900" w:h="16838" w:orient="portrait"/>
          <w:cols w:equalWidth="0" w:num="1">
            <w:col w:w="10980"/>
          </w:cols>
          <w:pgMar w:left="440" w:top="270" w:right="479" w:bottom="1440" w:gutter="0" w:footer="0" w:header="0"/>
        </w:sectPr>
      </w:pPr>
    </w:p>
    <w:bookmarkStart w:id="58" w:name="page59"/>
    <w:bookmarkEnd w:id="58"/>
    <w:p>
      <w:pPr>
        <w:ind w:left="540" w:firstLine="408"/>
        <w:spacing w:after="0" w:line="268" w:lineRule="auto"/>
        <w:tabs>
          <w:tab w:leader="none" w:pos="11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if the Company elects a Settlement Method with respect to the Conversion of any Note whose Conversion Date occurs before April 1, 2031, then the Company will send notice of such Settlement Method to the Holder of such Note no later than the Close of Business on the Business Day immediately after such Conversion Date;</w:t>
      </w:r>
    </w:p>
    <w:p>
      <w:pPr>
        <w:spacing w:after="0" w:line="66"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1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April 1, 2031, then such Settlement Method must be the same Settlement Method that,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applies to all Conversions of Notes with a Conversion Date that occurs on or after April 1, 2031;</w:t>
      </w:r>
    </w:p>
    <w:p>
      <w:pPr>
        <w:spacing w:after="0" w:line="79" w:lineRule="exact"/>
        <w:rPr>
          <w:rFonts w:ascii="Times New Roman" w:cs="Times New Roman" w:eastAsia="Times New Roman" w:hAnsi="Times New Roman"/>
          <w:sz w:val="18"/>
          <w:szCs w:val="18"/>
          <w:color w:val="auto"/>
        </w:rPr>
      </w:pPr>
    </w:p>
    <w:p>
      <w:pPr>
        <w:jc w:val="both"/>
        <w:ind w:left="540" w:right="360" w:firstLine="408"/>
        <w:spacing w:after="0" w:line="266" w:lineRule="auto"/>
        <w:tabs>
          <w:tab w:leader="none" w:pos="11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above);</w:t>
      </w:r>
    </w:p>
    <w:p>
      <w:pPr>
        <w:spacing w:after="0" w:line="67" w:lineRule="exact"/>
        <w:rPr>
          <w:rFonts w:ascii="Times New Roman" w:cs="Times New Roman" w:eastAsia="Times New Roman" w:hAnsi="Times New Roman"/>
          <w:sz w:val="18"/>
          <w:szCs w:val="18"/>
          <w:color w:val="auto"/>
        </w:rPr>
      </w:pPr>
    </w:p>
    <w:p>
      <w:pPr>
        <w:ind w:left="540" w:right="160" w:firstLine="408"/>
        <w:spacing w:after="0" w:line="266" w:lineRule="auto"/>
        <w:tabs>
          <w:tab w:leader="none" w:pos="11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67"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1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71"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1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Settlement Method will be subject to the Company’s right to elect that Physical Settlement apply to all Conversions with a Conversion Date occurring during the periods referred to in </w:t>
      </w:r>
      <w:r>
        <w:rPr>
          <w:rFonts w:ascii="Times New Roman" w:cs="Times New Roman" w:eastAsia="Times New Roman" w:hAnsi="Times New Roman"/>
          <w:sz w:val="18"/>
          <w:szCs w:val="18"/>
          <w:b w:val="1"/>
          <w:bCs w:val="1"/>
          <w:color w:val="auto"/>
        </w:rPr>
        <w:t>Sections 4.03(E)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5.01(C)(i)(3)(a)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or before the time the Company sends any notice referred to in the preceding sentence, the Company will send a copy of such notice to the Trustee and the Conversion Agent, but the failure to timely send such copy will not affect the validity of any Settlement Method election.</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0560"/>
          </w:cols>
          <w:pgMar w:left="880" w:top="266" w:right="459" w:bottom="1440" w:gutter="0" w:footer="0" w:header="0"/>
        </w:sectPr>
      </w:pPr>
    </w:p>
    <w:bookmarkStart w:id="59" w:name="page60"/>
    <w:bookmarkEnd w:id="59"/>
    <w:p>
      <w:pPr>
        <w:ind w:left="4" w:right="160" w:firstLine="419"/>
        <w:spacing w:after="0" w:line="273" w:lineRule="auto"/>
        <w:tabs>
          <w:tab w:leader="none" w:pos="69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Right to Irrevocably Fix or Eliminate Settlement Methods</w:t>
      </w:r>
      <w:r>
        <w:rPr>
          <w:rFonts w:ascii="Times New Roman" w:cs="Times New Roman" w:eastAsia="Times New Roman" w:hAnsi="Times New Roman"/>
          <w:sz w:val="17"/>
          <w:szCs w:val="17"/>
          <w:color w:val="auto"/>
        </w:rPr>
        <w:t>. The Company will have the right, exercisable at its election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sending notice of such exercise to the Holders (with a copy to the Trustee and the Conversion Agent), to (1) irrevocably fix the Settlement Method that will apply to all Conversions of Notes with a Conversion Date that occurs on or after the date such notice is sent to Holders; or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(w) the Settlement Method so elected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or the Settlement Method(s) remaining after any elimination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(x) no such irrevocable election will affect any Settlement Method theretofore elected (or deemed to be elected) with respect to any Note pursuant to this Indenture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(y) upon any such irrevocable election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the Default Settlement Method will automatically be deemed to be set to the Settlement Method so fixed; and (z) upon any such irrevocable election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(it being understood, however, that the Company may nonetheless choose to execute such an amendment at its option).</w:t>
      </w:r>
    </w:p>
    <w:p>
      <w:pPr>
        <w:spacing w:after="0" w:line="80" w:lineRule="exact"/>
        <w:rPr>
          <w:rFonts w:ascii="Times New Roman" w:cs="Times New Roman" w:eastAsia="Times New Roman" w:hAnsi="Times New Roman"/>
          <w:sz w:val="18"/>
          <w:szCs w:val="18"/>
          <w:color w:val="auto"/>
        </w:rPr>
      </w:pPr>
    </w:p>
    <w:p>
      <w:pPr>
        <w:ind w:left="4" w:right="140" w:firstLine="419"/>
        <w:spacing w:after="0" w:line="258" w:lineRule="auto"/>
        <w:tabs>
          <w:tab w:leader="none" w:pos="74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 to Publicly Disclose the Fixed or Default Settlement Method. </w:t>
      </w:r>
      <w:r>
        <w:rPr>
          <w:rFonts w:ascii="Times New Roman" w:cs="Times New Roman" w:eastAsia="Times New Roman" w:hAnsi="Times New Roman"/>
          <w:sz w:val="18"/>
          <w:szCs w:val="18"/>
          <w:color w:val="auto"/>
        </w:rPr>
        <w:t>If the Company changes the Default Settlement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of the proviso to the definition of such term or irrevocably fixes the Settlement Method(s) pursuant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 then the Company will, substantially concurrently therewith, either post the Default Settlement Method or fixed Settlement Method(s), as applicable, on its website or disclose the same in a Current Report on Form 8-K (or any successor form) that is filed with, or furnished to, the SEC.</w:t>
      </w:r>
    </w:p>
    <w:p>
      <w:pPr>
        <w:spacing w:after="0" w:line="183" w:lineRule="exact"/>
        <w:rPr>
          <w:sz w:val="20"/>
          <w:szCs w:val="20"/>
          <w:color w:val="auto"/>
        </w:rPr>
      </w:pPr>
    </w:p>
    <w:p>
      <w:pPr>
        <w:ind w:left="284" w:hanging="284"/>
        <w:spacing w:after="0"/>
        <w:tabs>
          <w:tab w:leader="none" w:pos="28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Consideration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 w:right="740" w:firstLine="419"/>
        <w:spacing w:after="0" w:line="286" w:lineRule="auto"/>
        <w:tabs>
          <w:tab w:leader="none" w:pos="64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5.03(B)(ii)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5.03(B)(iii)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5.09(A)(2)</w:t>
      </w:r>
      <w:r>
        <w:rPr>
          <w:rFonts w:ascii="Times New Roman" w:cs="Times New Roman" w:eastAsia="Times New Roman" w:hAnsi="Times New Roman"/>
          <w:sz w:val="18"/>
          <w:szCs w:val="18"/>
          <w:color w:val="auto"/>
        </w:rPr>
        <w:t>, the type and amount of consideration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due in respect of each $1,000 principal amount of a Note to be Converted will be as follows:</w:t>
      </w:r>
    </w:p>
    <w:p>
      <w:pPr>
        <w:spacing w:after="0" w:line="50" w:lineRule="exact"/>
        <w:rPr>
          <w:rFonts w:ascii="Times New Roman" w:cs="Times New Roman" w:eastAsia="Times New Roman" w:hAnsi="Times New Roman"/>
          <w:sz w:val="18"/>
          <w:szCs w:val="18"/>
          <w:color w:val="auto"/>
        </w:rPr>
      </w:pPr>
    </w:p>
    <w:p>
      <w:pPr>
        <w:ind w:left="544" w:right="180" w:firstLine="408"/>
        <w:spacing w:after="0" w:line="282" w:lineRule="auto"/>
        <w:tabs>
          <w:tab w:leader="none" w:pos="119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Settlement applies to such Conversion, a number of shares of Common Stock equal to the Conversion Rate in effect on the Conversion Date for such Conversion;</w:t>
      </w:r>
    </w:p>
    <w:p>
      <w:pPr>
        <w:spacing w:after="0" w:line="53" w:lineRule="exact"/>
        <w:rPr>
          <w:rFonts w:ascii="Times New Roman" w:cs="Times New Roman" w:eastAsia="Times New Roman" w:hAnsi="Times New Roman"/>
          <w:sz w:val="18"/>
          <w:szCs w:val="18"/>
          <w:color w:val="auto"/>
        </w:rPr>
      </w:pPr>
    </w:p>
    <w:p>
      <w:pPr>
        <w:ind w:left="544" w:right="460" w:firstLine="408"/>
        <w:spacing w:after="0" w:line="282" w:lineRule="auto"/>
        <w:tabs>
          <w:tab w:leader="none" w:pos="119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Cash Settlement applies to such Conversion, cash in an amount equal to the sum of the Daily Conversion Values for each VWAP Trading Day in the Observation Period for such Conversion; or</w:t>
      </w:r>
    </w:p>
    <w:p>
      <w:pPr>
        <w:spacing w:after="0" w:line="94"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3"/>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0544"/>
          </w:cols>
          <w:pgMar w:left="876" w:top="268" w:right="479" w:bottom="1440" w:gutter="0" w:footer="0" w:header="0"/>
        </w:sectPr>
      </w:pPr>
    </w:p>
    <w:bookmarkStart w:id="60" w:name="page61"/>
    <w:bookmarkEnd w:id="60"/>
    <w:p>
      <w:pPr>
        <w:jc w:val="both"/>
        <w:ind w:left="544" w:right="380" w:firstLine="408"/>
        <w:spacing w:after="0" w:line="266" w:lineRule="auto"/>
        <w:tabs>
          <w:tab w:leader="none" w:pos="119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65"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69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If Physical Settlement or Combination Settlement applies to the Conversion of any Note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number of shares of Common Stock deliverable pursuant to </w:t>
      </w:r>
      <w:r>
        <w:rPr>
          <w:rFonts w:ascii="Times New Roman" w:cs="Times New Roman" w:eastAsia="Times New Roman" w:hAnsi="Times New Roman"/>
          <w:sz w:val="18"/>
          <w:szCs w:val="18"/>
          <w:b w:val="1"/>
          <w:bCs w:val="1"/>
          <w:color w:val="auto"/>
        </w:rPr>
        <w:t>Section 5.03(B)(i)</w:t>
      </w:r>
      <w:r>
        <w:rPr>
          <w:rFonts w:ascii="Times New Roman" w:cs="Times New Roman" w:eastAsia="Times New Roman" w:hAnsi="Times New Roman"/>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74" w:lineRule="exact"/>
        <w:rPr>
          <w:rFonts w:ascii="Times New Roman" w:cs="Times New Roman" w:eastAsia="Times New Roman" w:hAnsi="Times New Roman"/>
          <w:sz w:val="18"/>
          <w:szCs w:val="18"/>
          <w:color w:val="auto"/>
        </w:rPr>
      </w:pPr>
    </w:p>
    <w:p>
      <w:pPr>
        <w:ind w:left="4" w:right="60" w:firstLine="419"/>
        <w:spacing w:after="0" w:line="290" w:lineRule="auto"/>
        <w:tabs>
          <w:tab w:leader="none" w:pos="741"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of Multiple Notes by a Single Holder</w:t>
      </w:r>
      <w:r>
        <w:rPr>
          <w:rFonts w:ascii="Times New Roman" w:cs="Times New Roman" w:eastAsia="Times New Roman" w:hAnsi="Times New Roman"/>
          <w:sz w:val="17"/>
          <w:szCs w:val="17"/>
          <w:color w:val="auto"/>
        </w:rPr>
        <w:t>. If a Holder Converts more than one (1) Note on a single Conversion Date, then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47" w:lineRule="exact"/>
        <w:rPr>
          <w:rFonts w:ascii="Times New Roman" w:cs="Times New Roman" w:eastAsia="Times New Roman" w:hAnsi="Times New Roman"/>
          <w:sz w:val="17"/>
          <w:szCs w:val="17"/>
          <w:color w:val="auto"/>
        </w:rPr>
      </w:pPr>
    </w:p>
    <w:p>
      <w:pPr>
        <w:ind w:left="4" w:right="200" w:firstLine="419"/>
        <w:spacing w:after="0" w:line="261" w:lineRule="auto"/>
        <w:tabs>
          <w:tab w:leader="none" w:pos="73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Calculation of Conversion Consideration</w:t>
      </w:r>
      <w:r>
        <w:rPr>
          <w:rFonts w:ascii="Times New Roman" w:cs="Times New Roman" w:eastAsia="Times New Roman" w:hAnsi="Times New Roman"/>
          <w:sz w:val="18"/>
          <w:szCs w:val="18"/>
          <w:color w:val="auto"/>
        </w:rPr>
        <w:t>. If Cash Settlement or Combination Settlement applies to the Conversion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77" w:lineRule="exact"/>
        <w:rPr>
          <w:rFonts w:ascii="Times New Roman" w:cs="Times New Roman" w:eastAsia="Times New Roman" w:hAnsi="Times New Roman"/>
          <w:sz w:val="18"/>
          <w:szCs w:val="18"/>
          <w:color w:val="auto"/>
        </w:rPr>
      </w:pPr>
    </w:p>
    <w:p>
      <w:pPr>
        <w:ind w:left="-436" w:firstLine="436"/>
        <w:spacing w:after="0" w:line="254" w:lineRule="auto"/>
        <w:tabs>
          <w:tab w:leader="none" w:pos="2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5.05(D)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w:t>
      </w:r>
      <w:r>
        <w:rPr>
          <w:rFonts w:ascii="Times New Roman" w:cs="Times New Roman" w:eastAsia="Times New Roman" w:hAnsi="Times New Roman"/>
          <w:sz w:val="18"/>
          <w:szCs w:val="18"/>
          <w:color w:val="auto"/>
        </w:rPr>
        <w:t>, the Company will pay or deliver,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Conversion Consideration due upon the Conversion of any Note to the Holder as follows: (i) if Cash Settlement or Combination Settlement applies to such Conversion, on the second (2nd) Business Day immediately after the last VWAP Trading Day of the Observation Period for such Conversion; and (ii) if Physical Settlement applies to such Conversion, on the second (2nd) Business Day immediately after the Conversion Date for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Physical Settlement applies to the Conversion of any Note with a Conversion Date that is after the Interest Record Date immediately before the Maturity Date (regardless of whether Special Interest or Additional Interest is then payable), or of any Note that has been called for Redemption with a Conversion Date that occurs during the fifteen (15) calendar days preceding the related Redemption Date, then, solely for purposes of such Conversion, (x) the Company will pay or deliver, as applicable, the Conversion Consideration due upon such Conversion on the Maturity Date (or, if the Maturity</w:t>
      </w:r>
    </w:p>
    <w:p>
      <w:pPr>
        <w:spacing w:after="0" w:line="124"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ectPr>
          <w:pgSz w:w="11900" w:h="16838" w:orient="portrait"/>
          <w:cols w:equalWidth="0" w:num="1">
            <w:col w:w="10544"/>
          </w:cols>
          <w:pgMar w:left="876" w:top="270" w:right="47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is not a Business Day, the next Business Day), in the case of a Conversion of any Note with a Conversion Date that is after the Interest Record Date immediately before the Maturity Date (regardless of whether Special Interest or Additional Interest is then payable), or the related Redemption Date, in the case of a Conversion of any Note that has been called for Redemption with a Conversion Date that occurs during the fifteen (15) calendar days preceding such Redemption Date; and (y) the Conversion Date will instead be deemed to be the second (2nd) Business Day immediately before the date referred to in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40" w:firstLine="436"/>
        <w:spacing w:after="0" w:line="256" w:lineRule="auto"/>
        <w:tabs>
          <w:tab w:leader="none" w:pos="7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Deemed Payment of Principal and Interest; Settlement of Accrued Interest Notwithstanding Conversion</w:t>
      </w:r>
      <w:r>
        <w:rPr>
          <w:rFonts w:ascii="Times New Roman" w:cs="Times New Roman" w:eastAsia="Times New Roman" w:hAnsi="Times New Roman"/>
          <w:sz w:val="18"/>
          <w:szCs w:val="18"/>
          <w:color w:val="auto"/>
        </w:rPr>
        <w:t>. If a Holder Converts a Note, 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not adjust the Conversion Rate to account for any accrued and unpaid interest on such Note, and,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any accrued and unpaid interest on a Converted Note will be deemed to be paid in full rather than cancelled, extinguished or forfeited. In addition, subject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if the Conversion Consideration for a Note consists of both cash and shares of Common Stock, then accrued and unpaid interest, if any, that is deemed to be paid therewith will be deemed to be paid first out of such cash.</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5.04. R</w:t>
      </w:r>
      <w:r>
        <w:rPr>
          <w:rFonts w:ascii="Times New Roman" w:cs="Times New Roman" w:eastAsia="Times New Roman" w:hAnsi="Times New Roman"/>
          <w:sz w:val="14"/>
          <w:szCs w:val="14"/>
          <w:b w:val="1"/>
          <w:bCs w:val="1"/>
          <w:color w:val="auto"/>
        </w:rPr>
        <w:t>ESERVE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TATUS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SSUED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60" w:firstLine="436"/>
        <w:spacing w:after="0" w:line="257" w:lineRule="auto"/>
        <w:tabs>
          <w:tab w:leader="none" w:pos="7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Reserve</w:t>
      </w:r>
      <w:r>
        <w:rPr>
          <w:rFonts w:ascii="Times New Roman" w:cs="Times New Roman" w:eastAsia="Times New Roman" w:hAnsi="Times New Roman"/>
          <w:sz w:val="18"/>
          <w:szCs w:val="18"/>
          <w:color w:val="auto"/>
        </w:rPr>
        <w:t>. At all times when any Notes are outstanding, the Company will reserve (out of its authorized and not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that are not reserved for other purposes)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right="160" w:firstLine="436"/>
        <w:spacing w:after="0" w:line="256" w:lineRule="auto"/>
        <w:tabs>
          <w:tab w:leader="none" w:pos="7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Conversion Share, if any, delivered upon Conversion of any Note will be a newly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treasury share (except that any Conversion Share delivered by a designated financial institution pursuant to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1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ectPr>
          <w:pgSz w:w="11900" w:h="16838" w:orient="portrait"/>
          <w:cols w:equalWidth="0" w:num="1">
            <w:col w:w="11020"/>
          </w:cols>
          <w:pgMar w:left="440" w:top="270"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5.05. A</w:t>
      </w:r>
      <w:r>
        <w:rPr>
          <w:rFonts w:ascii="Times New Roman" w:cs="Times New Roman" w:eastAsia="Times New Roman" w:hAnsi="Times New Roman"/>
          <w:sz w:val="14"/>
          <w:szCs w:val="14"/>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740" w:hanging="304"/>
        <w:spacing w:after="0"/>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Requiring an Adjustment to the Conversion Rate</w:t>
      </w:r>
      <w:r>
        <w:rPr>
          <w:rFonts w:ascii="Times New Roman" w:cs="Times New Roman" w:eastAsia="Times New Roman" w:hAnsi="Times New Roman"/>
          <w:sz w:val="18"/>
          <w:szCs w:val="18"/>
          <w:color w:val="auto"/>
        </w:rPr>
        <w:t>. The Conversion Rate will be adjusted from time to time as follows:</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7" w:lineRule="auto"/>
        <w:tabs>
          <w:tab w:leader="none" w:pos="107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Dividends, Splits and Combinations</w:t>
      </w:r>
      <w:r>
        <w:rPr>
          <w:rFonts w:ascii="Times New Roman" w:cs="Times New Roman" w:eastAsia="Times New Roman" w:hAnsi="Times New Roman"/>
          <w:sz w:val="18"/>
          <w:szCs w:val="18"/>
          <w:color w:val="auto"/>
        </w:rPr>
        <w:t>. If the Company issues solely shares of Common Stock as a dividend or distribution on 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shares of the Common Stock, or if the Company effects a stock split or a stock combination of the Common Stock,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140335</wp:posOffset>
            </wp:positionV>
            <wp:extent cx="994410" cy="419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9441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700" w:type="dxa"/>
            <w:vAlign w:val="bottom"/>
          </w:tcPr>
          <w:p>
            <w:pPr>
              <w:spacing w:after="0"/>
              <w:rPr>
                <w:sz w:val="20"/>
                <w:szCs w:val="20"/>
                <w:color w:val="auto"/>
              </w:rPr>
            </w:pPr>
          </w:p>
        </w:tc>
      </w:tr>
      <w:tr>
        <w:trPr>
          <w:trHeight w:val="441"/>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 distribution, or</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immediately before the Open of Business on the Effective Date of such stock split or stock combination, as applicable;</w:t>
            </w:r>
          </w:p>
        </w:tc>
      </w:tr>
      <w:tr>
        <w:trPr>
          <w:trHeight w:val="357"/>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 as applicable;</w:t>
            </w:r>
          </w:p>
        </w:tc>
      </w:tr>
      <w:tr>
        <w:trPr>
          <w:trHeight w:val="273"/>
        </w:trPr>
        <w:tc>
          <w:tcPr>
            <w:tcW w:w="360" w:type="dxa"/>
            <w:vAlign w:val="bottom"/>
          </w:tcPr>
          <w:p>
            <w:pPr>
              <w:spacing w:after="0" w:line="273" w:lineRule="exact"/>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 or Effective</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as applicable, without giving effect to such dividend, distribution, stock split or stock combination; and</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after giving effect to such dividend, distribution, stock split or stock</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86" w:lineRule="exact"/>
        <w:rPr>
          <w:sz w:val="20"/>
          <w:szCs w:val="20"/>
          <w:color w:val="auto"/>
        </w:rPr>
      </w:pPr>
    </w:p>
    <w:p>
      <w:pPr>
        <w:jc w:val="both"/>
        <w:ind w:left="440" w:right="120"/>
        <w:spacing w:after="0" w:line="262" w:lineRule="auto"/>
        <w:rPr>
          <w:sz w:val="20"/>
          <w:szCs w:val="20"/>
          <w:color w:val="auto"/>
        </w:rPr>
      </w:pPr>
      <w:r>
        <w:rPr>
          <w:rFonts w:ascii="Times New Roman" w:cs="Times New Roman" w:eastAsia="Times New Roman" w:hAnsi="Times New Roman"/>
          <w:sz w:val="18"/>
          <w:szCs w:val="18"/>
          <w:color w:val="auto"/>
        </w:rPr>
        <w:t xml:space="preserve">If any dividend, distribution, stock split or stock combination of the type described in this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70" w:lineRule="exact"/>
        <w:rPr>
          <w:sz w:val="20"/>
          <w:szCs w:val="20"/>
          <w:color w:val="auto"/>
        </w:rPr>
      </w:pPr>
    </w:p>
    <w:p>
      <w:pPr>
        <w:ind w:left="440" w:firstLine="419"/>
        <w:spacing w:after="0" w:line="257" w:lineRule="auto"/>
        <w:tabs>
          <w:tab w:leader="none" w:pos="112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Options and Warrants</w:t>
      </w:r>
      <w:r>
        <w:rPr>
          <w:rFonts w:ascii="Times New Roman" w:cs="Times New Roman" w:eastAsia="Times New Roman" w:hAnsi="Times New Roman"/>
          <w:sz w:val="18"/>
          <w:szCs w:val="18"/>
          <w:color w:val="auto"/>
        </w:rPr>
        <w:t>. If the Company distributes, to all or substantially all holders of Common Stock, rights,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Sections 5.05(A)(iii)(1)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5.05(F)</w:t>
      </w:r>
      <w:r>
        <w:rPr>
          <w:rFonts w:ascii="Times New Roman" w:cs="Times New Roman" w:eastAsia="Times New Roman" w:hAnsi="Times New Roman"/>
          <w:sz w:val="18"/>
          <w:szCs w:val="18"/>
          <w:color w:val="auto"/>
        </w:rPr>
        <w:t xml:space="preserve"> will apply) entitling such holders, for a period of not more than sixty (60) calendar days after the date such distribution is first publicly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first publicly announced, then the Conversion Rate will be increased based on the following formula:</w:t>
      </w:r>
    </w:p>
    <w:p>
      <w:pPr>
        <w:spacing w:after="0" w:line="116"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ectPr>
          <w:pgSz w:w="11900" w:h="16838" w:orient="portrait"/>
          <w:cols w:equalWidth="0" w:num="1">
            <w:col w:w="11020"/>
          </w:cols>
          <w:pgMar w:left="440" w:top="266" w:right="4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p>
        </w:tc>
      </w:tr>
      <w:tr>
        <w:trPr>
          <w:trHeight w:val="472"/>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0</w:t>
            </w:r>
          </w:p>
        </w:tc>
        <w:tc>
          <w:tcPr>
            <w:tcW w:w="9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before the Open of Business on the Ex-Dividend Date for such distribution;</w:t>
            </w:r>
          </w:p>
        </w:tc>
      </w:tr>
      <w:tr>
        <w:trPr>
          <w:trHeight w:val="357"/>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1</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278"/>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3199765</wp:posOffset>
            </wp:positionH>
            <wp:positionV relativeFrom="page">
              <wp:posOffset>183515</wp:posOffset>
            </wp:positionV>
            <wp:extent cx="1148715" cy="334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34645"/>
                    </a:xfrm>
                    <a:prstGeom prst="rect">
                      <a:avLst/>
                    </a:prstGeom>
                    <a:noFill/>
                  </pic:spPr>
                </pic:pic>
              </a:graphicData>
            </a:graphic>
          </wp:anchor>
        </w:drawing>
      </w:r>
    </w:p>
    <w:p>
      <w:pPr>
        <w:ind w:left="640" w:hanging="639"/>
        <w:spacing w:after="0"/>
        <w:tabs>
          <w:tab w:leader="none" w:pos="640" w:val="left"/>
        </w:tabs>
        <w:numPr>
          <w:ilvl w:val="0"/>
          <w:numId w:val="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total number of shares of Common Stock issuable pursuant to such rights, options or warrants; and</w:t>
      </w:r>
    </w:p>
    <w:p>
      <w:pPr>
        <w:spacing w:after="0" w:line="117" w:lineRule="exact"/>
        <w:rPr>
          <w:sz w:val="20"/>
          <w:szCs w:val="20"/>
          <w:color w:val="auto"/>
        </w:rPr>
      </w:pPr>
    </w:p>
    <w:p>
      <w:pPr>
        <w:ind w:left="860" w:right="40" w:hanging="859"/>
        <w:spacing w:after="0" w:line="266" w:lineRule="auto"/>
        <w:tabs>
          <w:tab w:leader="none" w:pos="657"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5.01(C)(i)(3)(a)(I)</w:t>
      </w:r>
      <w:r>
        <w:rPr>
          <w:rFonts w:ascii="Times New Roman" w:cs="Times New Roman" w:eastAsia="Times New Roman" w:hAnsi="Times New Roman"/>
          <w:sz w:val="18"/>
          <w:szCs w:val="18"/>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first publicly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0560"/>
          </w:cols>
          <w:pgMar w:left="880" w:top="904" w:right="459" w:bottom="1440" w:gutter="0" w:footer="0" w:header="0"/>
        </w:sectPr>
      </w:pPr>
    </w:p>
    <w:bookmarkStart w:id="64" w:name="page65"/>
    <w:bookmarkEnd w:id="64"/>
    <w:p>
      <w:pPr>
        <w:ind w:left="321" w:hanging="321"/>
        <w:spacing w:after="0"/>
        <w:tabs>
          <w:tab w:leader="none" w:pos="32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Spin-Offs and Other Distributed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120" w:firstLine="408"/>
        <w:spacing w:after="0" w:line="267" w:lineRule="auto"/>
        <w:tabs>
          <w:tab w:leader="none" w:pos="77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Other than Spin-Offs</w:t>
      </w:r>
      <w:r>
        <w:rPr>
          <w:rFonts w:ascii="Times New Roman" w:cs="Times New Roman" w:eastAsia="Times New Roman" w:hAnsi="Times New Roman"/>
          <w:sz w:val="18"/>
          <w:szCs w:val="18"/>
          <w:color w:val="auto"/>
        </w:rPr>
        <w:t>. If the Company distributes shares of its Capital Stock, evidences of its indebtedness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property of the Company, or rights, options or warrants to acquire Capital Stock of the Company or other securities, to all or substantially all holders of the Common Stock, excluding:</w:t>
      </w:r>
    </w:p>
    <w:p>
      <w:pPr>
        <w:spacing w:after="0" w:line="67" w:lineRule="exact"/>
        <w:rPr>
          <w:rFonts w:ascii="Times New Roman" w:cs="Times New Roman" w:eastAsia="Times New Roman" w:hAnsi="Times New Roman"/>
          <w:sz w:val="18"/>
          <w:szCs w:val="18"/>
          <w:color w:val="auto"/>
        </w:rPr>
      </w:pPr>
    </w:p>
    <w:p>
      <w:pPr>
        <w:ind w:left="561" w:firstLine="391"/>
        <w:spacing w:after="0" w:line="282" w:lineRule="auto"/>
        <w:tabs>
          <w:tab w:leader="none" w:pos="1199"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5.05(A)(ii)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61" w:right="60" w:firstLine="391"/>
        <w:spacing w:after="0" w:line="282" w:lineRule="auto"/>
        <w:tabs>
          <w:tab w:leader="none" w:pos="1199"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41" w:hanging="289"/>
        <w:spacing w:after="0"/>
        <w:tabs>
          <w:tab w:leader="none" w:pos="1241"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issued or otherwise distributed pursuant to a stockholder rights plan, except to the extent provided in</w:t>
      </w:r>
    </w:p>
    <w:p>
      <w:pPr>
        <w:spacing w:after="0" w:line="27"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561" w:right="1040" w:firstLine="391"/>
        <w:spacing w:after="0" w:line="282" w:lineRule="auto"/>
        <w:tabs>
          <w:tab w:leader="none" w:pos="119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Spin-Offs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5.05(A)(iii)(2)</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201" w:hanging="249"/>
        <w:spacing w:after="0"/>
        <w:tabs>
          <w:tab w:leader="none" w:pos="120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tender offer or exchange offer for shares of Common Stock, as to which </w:t>
      </w:r>
      <w:r>
        <w:rPr>
          <w:rFonts w:ascii="Times New Roman" w:cs="Times New Roman" w:eastAsia="Times New Roman" w:hAnsi="Times New Roman"/>
          <w:sz w:val="18"/>
          <w:szCs w:val="18"/>
          <w:b w:val="1"/>
          <w:bCs w:val="1"/>
          <w:color w:val="auto"/>
        </w:rPr>
        <w:t>Section 5.05(A)</w:t>
      </w:r>
    </w:p>
    <w:p>
      <w:pPr>
        <w:spacing w:after="0" w:line="31" w:lineRule="exact"/>
        <w:rPr>
          <w:rFonts w:ascii="Times New Roman" w:cs="Times New Roman" w:eastAsia="Times New Roman" w:hAnsi="Times New Roman"/>
          <w:sz w:val="18"/>
          <w:szCs w:val="18"/>
          <w:color w:val="auto"/>
        </w:rPr>
      </w:pPr>
    </w:p>
    <w:p>
      <w:pPr>
        <w:ind w:left="821" w:hanging="252"/>
        <w:spacing w:after="0"/>
        <w:tabs>
          <w:tab w:leader="none" w:pos="821"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apply; and</w:t>
      </w:r>
    </w:p>
    <w:p>
      <w:pPr>
        <w:spacing w:after="0" w:line="94" w:lineRule="exact"/>
        <w:rPr>
          <w:rFonts w:ascii="Times New Roman" w:cs="Times New Roman" w:eastAsia="Times New Roman" w:hAnsi="Times New Roman"/>
          <w:sz w:val="18"/>
          <w:szCs w:val="18"/>
          <w:b w:val="1"/>
          <w:bCs w:val="1"/>
          <w:color w:val="auto"/>
        </w:rPr>
      </w:pPr>
    </w:p>
    <w:p>
      <w:pPr>
        <w:ind w:left="1201" w:hanging="249"/>
        <w:spacing w:after="0"/>
        <w:tabs>
          <w:tab w:leader="none" w:pos="120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w:t>
      </w:r>
    </w:p>
    <w:p>
      <w:pPr>
        <w:spacing w:after="0" w:line="121"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171450</wp:posOffset>
            </wp:positionV>
            <wp:extent cx="1320165" cy="3346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01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where:</w:t>
      </w:r>
    </w:p>
    <w:p>
      <w:pPr>
        <w:spacing w:after="0" w:line="143" w:lineRule="exact"/>
        <w:rPr>
          <w:sz w:val="20"/>
          <w:szCs w:val="20"/>
          <w:color w:val="auto"/>
        </w:rPr>
      </w:pPr>
    </w:p>
    <w:p>
      <w:pPr>
        <w:ind w:left="141" w:right="860"/>
        <w:spacing w:after="0" w:line="303" w:lineRule="auto"/>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Conversion Rate in effect immediately before the Open of Business on the Ex-Dividend Date for such distribution;</w:t>
      </w:r>
      <w:r>
        <w:rPr>
          <w:rFonts w:ascii="Times New Roman" w:cs="Times New Roman" w:eastAsia="Times New Roman" w:hAnsi="Times New Roman"/>
          <w:sz w:val="18"/>
          <w:szCs w:val="18"/>
          <w:i w:val="1"/>
          <w:iCs w:val="1"/>
          <w:color w:val="auto"/>
        </w:rPr>
        <w:t xml:space="preserve"> CR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Conversion Rate in effect immediately after the Open of Business on such Ex-Dividend Date;</w:t>
      </w:r>
    </w:p>
    <w:p>
      <w:pPr>
        <w:ind w:left="541" w:hanging="606"/>
        <w:spacing w:after="0" w:line="282" w:lineRule="auto"/>
        <w:tabs>
          <w:tab w:leader="none" w:pos="520" w:val="left"/>
        </w:tabs>
        <w:rPr>
          <w:sz w:val="20"/>
          <w:szCs w:val="20"/>
          <w:color w:val="auto"/>
        </w:rPr>
      </w:pPr>
      <w:r>
        <w:rPr>
          <w:rFonts w:ascii="Times New Roman" w:cs="Times New Roman" w:eastAsia="Times New Roman" w:hAnsi="Times New Roman"/>
          <w:sz w:val="18"/>
          <w:szCs w:val="18"/>
          <w:i w:val="1"/>
          <w:iCs w:val="1"/>
          <w:color w:val="auto"/>
        </w:rPr>
        <w:t>SP</w:t>
      </w:r>
      <w:r>
        <w:rPr>
          <w:sz w:val="20"/>
          <w:szCs w:val="20"/>
          <w:color w:val="auto"/>
        </w:rPr>
        <w:tab/>
      </w:r>
      <w:r>
        <w:rPr>
          <w:rFonts w:ascii="Times New Roman" w:cs="Times New Roman" w:eastAsia="Times New Roman" w:hAnsi="Times New Roman"/>
          <w:sz w:val="18"/>
          <w:szCs w:val="18"/>
          <w:color w:val="auto"/>
        </w:rPr>
        <w:t>= the average of the Last Reported Sale Prices per share of Common Stock for the ten (10) consecutive Trading Days ending on, and including, the Trading Day immediately before such Ex-Dividend Date; and</w:t>
      </w:r>
    </w:p>
    <w:p>
      <w:pPr>
        <w:spacing w:after="0" w:line="96" w:lineRule="exact"/>
        <w:rPr>
          <w:sz w:val="20"/>
          <w:szCs w:val="20"/>
          <w:color w:val="auto"/>
        </w:rPr>
      </w:pPr>
    </w:p>
    <w:p>
      <w:pPr>
        <w:ind w:left="4441"/>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0141"/>
          </w:cols>
          <w:pgMar w:left="1299" w:top="268" w:right="459" w:bottom="1440" w:gutter="0" w:footer="0" w:header="0"/>
        </w:sectPr>
      </w:pPr>
    </w:p>
    <w:bookmarkStart w:id="65" w:name="page66"/>
    <w:bookmarkEnd w:id="65"/>
    <w:p>
      <w:pPr>
        <w:ind w:left="720" w:hanging="70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FMV </w:t>
      </w:r>
      <w:r>
        <w:rPr>
          <w:rFonts w:ascii="Times New Roman" w:cs="Times New Roman" w:eastAsia="Times New Roman" w:hAnsi="Times New Roman"/>
          <w:sz w:val="18"/>
          <w:szCs w:val="18"/>
          <w:color w:val="auto"/>
        </w:rPr>
        <w:t>= the fair market value (as determined by the Company in good faith), as of such Ex-Dividend Date, of the shares of Capital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evidences of indebtedness, assets, property, rights, options or warrants distributed per share of Common Stock pursuant to such distribution;</w:t>
      </w:r>
    </w:p>
    <w:p>
      <w:pPr>
        <w:spacing w:after="0" w:line="6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in such distribution if such Holder had owned, on such record date, a number of shares of Common Stock equal to the Conversion Rate in effect on such record date.</w:t>
      </w:r>
    </w:p>
    <w:p>
      <w:pPr>
        <w:spacing w:after="0" w:line="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52" w:lineRule="exact"/>
        <w:rPr>
          <w:sz w:val="20"/>
          <w:szCs w:val="20"/>
          <w:color w:val="auto"/>
        </w:rPr>
      </w:pPr>
    </w:p>
    <w:p>
      <w:pPr>
        <w:ind w:right="40" w:firstLine="408"/>
        <w:spacing w:after="0" w:line="257"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w:t>
      </w:r>
      <w:r>
        <w:rPr>
          <w:rFonts w:ascii="Times New Roman" w:cs="Times New Roman" w:eastAsia="Times New Roman" w:hAnsi="Times New Roman"/>
          <w:sz w:val="18"/>
          <w:szCs w:val="18"/>
          <w:color w:val="auto"/>
        </w:rPr>
        <w:t>. If the Company distributes or dividends shares of Capital Stock of any class or series, or similar equity interests,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or (y) a tender offer or exchange offer for shares of Common Stock, as to which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145415</wp:posOffset>
            </wp:positionV>
            <wp:extent cx="1320165" cy="334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201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43" w:lineRule="exact"/>
        <w:rPr>
          <w:sz w:val="20"/>
          <w:szCs w:val="20"/>
          <w:color w:val="auto"/>
        </w:rPr>
      </w:pPr>
    </w:p>
    <w:p>
      <w:pPr>
        <w:ind w:left="620" w:right="100" w:hanging="606"/>
        <w:spacing w:after="0" w:line="265" w:lineRule="auto"/>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Conversion Rate in effect immediately before the Close of Business on the last Trading Day of the Spin-Off Valuation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such Spin-Off;</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Conversion Rate in effect immediately after the Close of Business on the last Trading Day of the Spin-Off Valuation Period;</w:t>
      </w:r>
    </w:p>
    <w:p>
      <w:pPr>
        <w:spacing w:after="0" w:line="15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- 56 -</w:t>
      </w:r>
    </w:p>
    <w:p>
      <w:pPr>
        <w:sectPr>
          <w:pgSz w:w="11900" w:h="16838" w:orient="portrait"/>
          <w:cols w:equalWidth="0" w:num="1">
            <w:col w:w="10000"/>
          </w:cols>
          <w:pgMar w:left="1420" w:top="268" w:right="479" w:bottom="1440" w:gutter="0" w:footer="0" w:header="0"/>
        </w:sectPr>
      </w:pPr>
    </w:p>
    <w:bookmarkStart w:id="66" w:name="page67"/>
    <w:bookmarkEnd w:id="66"/>
    <w:p>
      <w:pPr>
        <w:ind w:left="1260" w:right="20" w:hanging="701"/>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FMV </w:t>
      </w:r>
      <w:r>
        <w:rPr>
          <w:rFonts w:ascii="Times New Roman" w:cs="Times New Roman" w:eastAsia="Times New Roman" w:hAnsi="Times New Roman"/>
          <w:sz w:val="18"/>
          <w:szCs w:val="18"/>
          <w:color w:val="auto"/>
        </w:rPr>
        <w:t>= the product of (x) the average of the Last Reported Sale Prices per share or unit of the Capital Stock or equity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in such Spin-Off over the ten (10) consecutive Trading Day period (the “</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p>
      <w:pPr>
        <w:spacing w:after="0" w:line="74"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SP</w:t>
      </w:r>
      <w:r>
        <w:rPr>
          <w:sz w:val="20"/>
          <w:szCs w:val="20"/>
          <w:color w:val="auto"/>
        </w:rPr>
        <w:tab/>
      </w:r>
      <w:r>
        <w:rPr>
          <w:rFonts w:ascii="Times New Roman" w:cs="Times New Roman" w:eastAsia="Times New Roman" w:hAnsi="Times New Roman"/>
          <w:sz w:val="18"/>
          <w:szCs w:val="18"/>
          <w:color w:val="auto"/>
        </w:rPr>
        <w:t>= the average of the Last Reported Sale Prices per share of Common Stock for each Trading Day in the Spin-Off Valuation Period.</w:t>
      </w:r>
    </w:p>
    <w:p>
      <w:pPr>
        <w:spacing w:after="0" w:line="115"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80" w:lineRule="exact"/>
        <w:rPr>
          <w:sz w:val="20"/>
          <w:szCs w:val="20"/>
          <w:color w:val="auto"/>
        </w:rPr>
      </w:pPr>
    </w:p>
    <w:p>
      <w:pPr>
        <w:ind w:left="540" w:right="60"/>
        <w:spacing w:after="0" w:line="268"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set forth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65" w:lineRule="exact"/>
        <w:rPr>
          <w:sz w:val="20"/>
          <w:szCs w:val="20"/>
          <w:color w:val="auto"/>
        </w:rPr>
      </w:pPr>
    </w:p>
    <w:p>
      <w:pPr>
        <w:ind w:right="100" w:firstLine="419"/>
        <w:spacing w:after="0" w:line="284" w:lineRule="auto"/>
        <w:tabs>
          <w:tab w:leader="none" w:pos="72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Dividends or Distributions</w:t>
      </w:r>
      <w:r>
        <w:rPr>
          <w:rFonts w:ascii="Times New Roman" w:cs="Times New Roman" w:eastAsia="Times New Roman" w:hAnsi="Times New Roman"/>
          <w:sz w:val="18"/>
          <w:szCs w:val="18"/>
          <w:color w:val="auto"/>
        </w:rPr>
        <w:t>. If any cash dividend or distribution is made to all or substantially all holders of Common Stock,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130175</wp:posOffset>
            </wp:positionV>
            <wp:extent cx="1148715" cy="3346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487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520"/>
          </w:cols>
          <w:pgMar w:left="880" w:top="376" w:right="499" w:bottom="1440" w:gutter="0" w:footer="0" w:header="0"/>
        </w:sect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before the Open of Business on the Ex-Dividend Date for such dividend or distribution;</w:t>
      </w:r>
    </w:p>
    <w:p>
      <w:pPr>
        <w:spacing w:after="0" w:line="115" w:lineRule="exact"/>
        <w:rPr>
          <w:sz w:val="20"/>
          <w:szCs w:val="20"/>
          <w:color w:val="auto"/>
        </w:rPr>
      </w:pPr>
    </w:p>
    <w:p>
      <w:pPr>
        <w:sectPr>
          <w:pgSz w:w="11900" w:h="16838" w:orient="portrait"/>
          <w:cols w:equalWidth="0" w:num="2">
            <w:col w:w="300" w:space="140"/>
            <w:col w:w="10080"/>
          </w:cols>
          <w:pgMar w:left="880" w:top="37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w:t>
      </w:r>
    </w:p>
    <w:p>
      <w:pPr>
        <w:spacing w:after="0" w:line="158" w:lineRule="exact"/>
        <w:rPr>
          <w:sz w:val="20"/>
          <w:szCs w:val="20"/>
          <w:color w:val="auto"/>
        </w:rPr>
      </w:pPr>
    </w:p>
    <w:p>
      <w:pPr>
        <w:sectPr>
          <w:pgSz w:w="11900" w:h="16838" w:orient="portrait"/>
          <w:cols w:equalWidth="0" w:num="2">
            <w:col w:w="300" w:space="140"/>
            <w:col w:w="10080"/>
          </w:cols>
          <w:pgMar w:left="880" w:top="376" w:right="499" w:bottom="1440" w:gutter="0" w:footer="0" w:header="0"/>
          <w:type w:val="continuous"/>
        </w:sectPr>
      </w:pPr>
    </w:p>
    <w:p>
      <w:pPr>
        <w:jc w:val="center"/>
        <w:ind w:right="400"/>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0520"/>
          </w:cols>
          <w:pgMar w:left="880" w:top="376" w:right="4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  </w:t>
      </w:r>
      <w:r>
        <w:rPr>
          <w:rFonts w:ascii="Times New Roman" w:cs="Times New Roman" w:eastAsia="Times New Roman" w:hAnsi="Times New Roman"/>
          <w:sz w:val="18"/>
          <w:szCs w:val="18"/>
          <w:color w:val="auto"/>
        </w:rPr>
        <w:t>= the Last Reported Sale Price per share of Common Stock on the Trading Day immediately before such Ex-Dividend Date; and</w:t>
      </w:r>
    </w:p>
    <w:p>
      <w:pPr>
        <w:spacing w:after="0" w:line="119" w:lineRule="exact"/>
        <w:rPr>
          <w:sz w:val="20"/>
          <w:szCs w:val="20"/>
          <w:color w:val="auto"/>
        </w:rPr>
      </w:pPr>
    </w:p>
    <w:p>
      <w:pPr>
        <w:ind w:left="320" w:hanging="319"/>
        <w:spacing w:after="0"/>
        <w:tabs>
          <w:tab w:leader="none" w:pos="320" w:val="left"/>
        </w:tabs>
        <w:numPr>
          <w:ilvl w:val="0"/>
          <w:numId w:val="1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cash amount distributed per share of Common Stock in such dividend or distribution;</w:t>
      </w:r>
    </w:p>
    <w:p>
      <w:pPr>
        <w:spacing w:after="0" w:line="1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in such dividend or distribution if such Holder had owned, on such record date, a number of shares of Common Stock equal to the Conversion Rate in effect on such record date.</w:t>
      </w:r>
    </w:p>
    <w:p>
      <w:pPr>
        <w:spacing w:after="0" w:line="7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52" w:lineRule="exact"/>
        <w:rPr>
          <w:sz w:val="20"/>
          <w:szCs w:val="20"/>
          <w:color w:val="auto"/>
        </w:rPr>
      </w:pPr>
    </w:p>
    <w:p>
      <w:pPr>
        <w:ind w:right="120" w:firstLine="419"/>
        <w:spacing w:after="0" w:line="257" w:lineRule="auto"/>
        <w:tabs>
          <w:tab w:leader="none" w:pos="67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Tender Offers or Exchange Offers</w:t>
      </w:r>
      <w:r>
        <w:rPr>
          <w:rFonts w:ascii="Times New Roman" w:cs="Times New Roman" w:eastAsia="Times New Roman" w:hAnsi="Times New Roman"/>
          <w:sz w:val="18"/>
          <w:szCs w:val="18"/>
          <w:color w:val="auto"/>
        </w:rPr>
        <w:t>. If the Company or any of its Subsidiaries makes a payment in respect of a tender offer or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for shares of Common Stock (other than solely pursuant to an odd-lot tender offer pursuant to Rule 13e-4(h)(5) under the Exchange Act (or any successor rule)), and the value (determined as of the Expiration Time by the Company in good faith)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145415</wp:posOffset>
            </wp:positionV>
            <wp:extent cx="1645920" cy="420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459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980" w:type="dxa"/>
            <w:vAlign w:val="bottom"/>
          </w:tcPr>
          <w:p>
            <w:pPr>
              <w:spacing w:after="0"/>
              <w:rPr>
                <w:sz w:val="20"/>
                <w:szCs w:val="20"/>
                <w:color w:val="auto"/>
              </w:rPr>
            </w:pPr>
          </w:p>
        </w:tc>
      </w:tr>
      <w:tr>
        <w:trPr>
          <w:trHeight w:val="319"/>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Tender/Exchange Offer Valuation</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Period for such tender or exchange offer;</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6"/>
                <w:szCs w:val="26"/>
                <w:i w:val="1"/>
                <w:iCs w:val="1"/>
                <w:color w:val="auto"/>
                <w:vertAlign w:val="sub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last Trading Day of the Tender/Exchange Offer Valuation</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Period;</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aggregate value (determined as of the time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such tender or exchange offer expires by the Company in good</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faith) of all cash and other consideration paid or payable for shares of Common Stock purchased or exchanged in such tender or exchange</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w:t>
            </w:r>
          </w:p>
        </w:tc>
      </w:tr>
      <w:tr>
        <w:trPr>
          <w:trHeight w:val="36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- 58 -</w:t>
            </w:r>
          </w:p>
        </w:tc>
      </w:tr>
    </w:tbl>
    <w:p>
      <w:pPr>
        <w:sectPr>
          <w:pgSz w:w="11900" w:h="16838" w:orient="portrait"/>
          <w:cols w:equalWidth="0" w:num="1">
            <w:col w:w="10560"/>
          </w:cols>
          <w:pgMar w:left="880" w:top="376" w:right="459" w:bottom="1440" w:gutter="0" w:footer="0" w:header="0"/>
        </w:sectPr>
      </w:pPr>
    </w:p>
    <w:bookmarkStart w:id="68" w:name="page69"/>
    <w:bookmarkEnd w:id="68"/>
    <w:p>
      <w:pPr>
        <w:ind w:left="4"/>
        <w:spacing w:after="0"/>
        <w:rPr>
          <w:sz w:val="20"/>
          <w:szCs w:val="20"/>
          <w:color w:val="auto"/>
        </w:rPr>
      </w:pPr>
      <w:r>
        <w:rPr>
          <w:rFonts w:ascii="Times New Roman" w:cs="Times New Roman" w:eastAsia="Times New Roman" w:hAnsi="Times New Roman"/>
          <w:sz w:val="17"/>
          <w:szCs w:val="17"/>
          <w:i w:val="1"/>
          <w:iCs w:val="1"/>
          <w:color w:val="auto"/>
        </w:rPr>
        <w:t>OS</w:t>
      </w:r>
      <w:r>
        <w:rPr>
          <w:rFonts w:ascii="Times New Roman" w:cs="Times New Roman" w:eastAsia="Times New Roman" w:hAnsi="Times New Roman"/>
          <w:sz w:val="12"/>
          <w:szCs w:val="12"/>
          <w:i w:val="1"/>
          <w:iCs w:val="1"/>
          <w:color w:val="auto"/>
        </w:rPr>
        <w:t>0</w:t>
      </w:r>
    </w:p>
    <w:p>
      <w:pPr>
        <w:spacing w:after="0" w:line="20" w:lineRule="exact"/>
        <w:rPr>
          <w:sz w:val="20"/>
          <w:szCs w:val="20"/>
          <w:color w:val="auto"/>
        </w:rPr>
      </w:pPr>
      <w:r>
        <w:rPr>
          <w:sz w:val="20"/>
          <w:szCs w:val="20"/>
          <w:color w:val="auto"/>
        </w:rPr>
        <w:br w:type="column"/>
      </w:r>
    </w:p>
    <w:p>
      <w:pPr>
        <w:ind w:right="320" w:hanging="19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before the Expiration Time (including all shares of Common Stock accepted for purchase or exchange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-459740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84" w:space="360"/>
            <w:col w:w="9880"/>
          </w:cols>
          <w:pgMar w:left="876" w:top="376" w:right="499" w:bottom="1440" w:gutter="0" w:footer="0" w:header="0"/>
        </w:sectPr>
      </w:pPr>
    </w:p>
    <w:p>
      <w:pPr>
        <w:ind w:left="4"/>
        <w:spacing w:after="0"/>
        <w:rPr>
          <w:sz w:val="20"/>
          <w:szCs w:val="20"/>
          <w:color w:val="auto"/>
        </w:rPr>
      </w:pPr>
      <w:r>
        <w:rPr>
          <w:rFonts w:ascii="Times New Roman" w:cs="Times New Roman" w:eastAsia="Times New Roman" w:hAnsi="Times New Roman"/>
          <w:sz w:val="17"/>
          <w:szCs w:val="17"/>
          <w:i w:val="1"/>
          <w:iCs w:val="1"/>
          <w:color w:val="auto"/>
        </w:rPr>
        <w:t>OS</w:t>
      </w:r>
      <w:r>
        <w:rPr>
          <w:rFonts w:ascii="Times New Roman" w:cs="Times New Roman" w:eastAsia="Times New Roman" w:hAnsi="Times New Roman"/>
          <w:sz w:val="12"/>
          <w:szCs w:val="12"/>
          <w:i w:val="1"/>
          <w:iCs w:val="1"/>
          <w:color w:val="auto"/>
        </w:rPr>
        <w:t>1</w:t>
      </w:r>
    </w:p>
    <w:p>
      <w:pPr>
        <w:spacing w:after="0" w:line="20" w:lineRule="exact"/>
        <w:rPr>
          <w:sz w:val="20"/>
          <w:szCs w:val="20"/>
          <w:color w:val="auto"/>
        </w:rPr>
      </w:pPr>
      <w:r>
        <w:rPr>
          <w:sz w:val="20"/>
          <w:szCs w:val="20"/>
          <w:color w:val="auto"/>
        </w:rPr>
        <w:br w:type="column"/>
      </w:r>
    </w:p>
    <w:p>
      <w:pPr>
        <w:ind w:right="420" w:hanging="19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after the Expiration Time (excluding all shares of Common Stock accepted for purchase or exchange in such tender or exchange offer); and</w:t>
      </w:r>
    </w:p>
    <w:p>
      <w:pPr>
        <w:spacing w:after="0" w:line="52" w:lineRule="exact"/>
        <w:rPr>
          <w:sz w:val="20"/>
          <w:szCs w:val="20"/>
          <w:color w:val="auto"/>
        </w:rPr>
      </w:pPr>
    </w:p>
    <w:p>
      <w:pPr>
        <w:sectPr>
          <w:pgSz w:w="11900" w:h="16838" w:orient="portrait"/>
          <w:cols w:equalWidth="0" w:num="2">
            <w:col w:w="284" w:space="360"/>
            <w:col w:w="9880"/>
          </w:cols>
          <w:pgMar w:left="876" w:top="37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average of the Last Reported Sale Prices per share of Common Stock over the ten (10) consecutive Trading Day period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Tender/Exchange Offer Valuation Period</w:t>
      </w:r>
      <w:r>
        <w:rPr>
          <w:rFonts w:ascii="Times New Roman" w:cs="Times New Roman" w:eastAsia="Times New Roman" w:hAnsi="Times New Roman"/>
          <w:sz w:val="17"/>
          <w:szCs w:val="17"/>
          <w:color w:val="auto"/>
        </w:rPr>
        <w:t>”) beginning on, and including, the Trading Day immediately after the Expiration Date;</w:t>
      </w:r>
    </w:p>
    <w:p>
      <w:pPr>
        <w:spacing w:after="0" w:line="106" w:lineRule="exact"/>
        <w:rPr>
          <w:sz w:val="20"/>
          <w:szCs w:val="20"/>
          <w:color w:val="auto"/>
        </w:rPr>
      </w:pPr>
    </w:p>
    <w:p>
      <w:pPr>
        <w:sectPr>
          <w:pgSz w:w="11900" w:h="16838" w:orient="portrait"/>
          <w:cols w:equalWidth="0" w:num="2">
            <w:col w:w="204" w:space="240"/>
            <w:col w:w="10080"/>
          </w:cols>
          <w:pgMar w:left="876" w:top="376" w:right="499" w:bottom="1440" w:gutter="0" w:footer="0" w:header="0"/>
          <w:type w:val="continuous"/>
        </w:sectPr>
      </w:pPr>
    </w:p>
    <w:p>
      <w:pPr>
        <w:ind w:left="4"/>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Conversion Rate will in no event be adjusted down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except to the extent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immediately following paragraph. Notwithstanding anything to the contrary in this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8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81" w:lineRule="exact"/>
        <w:rPr>
          <w:sz w:val="20"/>
          <w:szCs w:val="20"/>
          <w:color w:val="auto"/>
        </w:rPr>
      </w:pPr>
    </w:p>
    <w:p>
      <w:pPr>
        <w:ind w:left="284" w:hanging="284"/>
        <w:spacing w:after="0"/>
        <w:tabs>
          <w:tab w:leader="none" w:pos="28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44" w:hanging="221"/>
        <w:spacing w:after="0"/>
        <w:tabs>
          <w:tab w:leader="none" w:pos="6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Holders Participate in the Transaction or Event Without Conversion</w:t>
      </w:r>
      <w:r>
        <w:rPr>
          <w:rFonts w:ascii="Times New Roman" w:cs="Times New Roman" w:eastAsia="Times New Roman" w:hAnsi="Times New Roman"/>
          <w:sz w:val="18"/>
          <w:szCs w:val="18"/>
          <w:color w:val="auto"/>
        </w:rPr>
        <w:t>. Notwithstanding anything to the contrary in</w:t>
      </w:r>
    </w:p>
    <w:p>
      <w:pPr>
        <w:spacing w:after="0" w:line="29"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Company will not be obligated to adjust the Conversion Rate on account of a transaction or other event otherwise requiring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adjustment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(other than a stock</w:t>
      </w:r>
    </w:p>
    <w:p>
      <w:pPr>
        <w:spacing w:after="0" w:line="11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0524"/>
          </w:cols>
          <w:pgMar w:left="876" w:top="376" w:right="499" w:bottom="1440" w:gutter="0" w:footer="0" w:header="0"/>
          <w:type w:val="continuous"/>
        </w:sectPr>
      </w:pPr>
    </w:p>
    <w:bookmarkStart w:id="69" w:name="page70"/>
    <w:bookmarkEnd w:id="69"/>
    <w:p>
      <w:pPr>
        <w:ind w:left="444" w:right="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split or combination of the type set forth in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a tender or exchange offer of the type set forth in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71" w:lineRule="exact"/>
        <w:rPr>
          <w:sz w:val="20"/>
          <w:szCs w:val="20"/>
          <w:color w:val="auto"/>
        </w:rPr>
      </w:pPr>
    </w:p>
    <w:p>
      <w:pPr>
        <w:ind w:left="444" w:right="300" w:firstLine="419"/>
        <w:spacing w:after="0" w:line="286" w:lineRule="auto"/>
        <w:tabs>
          <w:tab w:leader="none" w:pos="113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 The Company will not be required to adjust the Conversion Rate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limiting the foregoing, the Company will not be obligated to adjust the Conversion Rate on account of:</w:t>
      </w:r>
    </w:p>
    <w:p>
      <w:pPr>
        <w:spacing w:after="0" w:line="46" w:lineRule="exact"/>
        <w:rPr>
          <w:rFonts w:ascii="Times New Roman" w:cs="Times New Roman" w:eastAsia="Times New Roman" w:hAnsi="Times New Roman"/>
          <w:sz w:val="18"/>
          <w:szCs w:val="18"/>
          <w:color w:val="auto"/>
        </w:rPr>
      </w:pPr>
    </w:p>
    <w:p>
      <w:pPr>
        <w:ind w:left="984" w:firstLine="408"/>
        <w:spacing w:after="0" w:line="286" w:lineRule="auto"/>
        <w:tabs>
          <w:tab w:leader="none" w:pos="164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the Conversion Price;</w:t>
      </w:r>
    </w:p>
    <w:p>
      <w:pPr>
        <w:spacing w:after="0" w:line="50" w:lineRule="exact"/>
        <w:rPr>
          <w:rFonts w:ascii="Times New Roman" w:cs="Times New Roman" w:eastAsia="Times New Roman" w:hAnsi="Times New Roman"/>
          <w:sz w:val="18"/>
          <w:szCs w:val="18"/>
          <w:color w:val="auto"/>
        </w:rPr>
      </w:pPr>
    </w:p>
    <w:p>
      <w:pPr>
        <w:ind w:left="984" w:firstLine="408"/>
        <w:spacing w:after="0" w:line="266" w:lineRule="auto"/>
        <w:tabs>
          <w:tab w:leader="none" w:pos="164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67" w:lineRule="exact"/>
        <w:rPr>
          <w:rFonts w:ascii="Times New Roman" w:cs="Times New Roman" w:eastAsia="Times New Roman" w:hAnsi="Times New Roman"/>
          <w:sz w:val="18"/>
          <w:szCs w:val="18"/>
          <w:color w:val="auto"/>
        </w:rPr>
      </w:pPr>
    </w:p>
    <w:p>
      <w:pPr>
        <w:ind w:left="984" w:right="60" w:firstLine="408"/>
        <w:spacing w:after="0" w:line="282" w:lineRule="auto"/>
        <w:tabs>
          <w:tab w:leader="none" w:pos="164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53" w:lineRule="exact"/>
        <w:rPr>
          <w:rFonts w:ascii="Times New Roman" w:cs="Times New Roman" w:eastAsia="Times New Roman" w:hAnsi="Times New Roman"/>
          <w:sz w:val="18"/>
          <w:szCs w:val="18"/>
          <w:color w:val="auto"/>
        </w:rPr>
      </w:pPr>
    </w:p>
    <w:p>
      <w:pPr>
        <w:ind w:left="984" w:right="60" w:firstLine="408"/>
        <w:spacing w:after="0" w:line="282" w:lineRule="auto"/>
        <w:tabs>
          <w:tab w:leader="none" w:pos="164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option, warrant, right or convertible or exchangeable security of the Company outstanding as of the Issue Date;</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 change in the par value of the Common Stock; or</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if any, on the Notes.</w:t>
      </w:r>
    </w:p>
    <w:p>
      <w:pPr>
        <w:spacing w:after="0" w:line="221" w:lineRule="exact"/>
        <w:rPr>
          <w:rFonts w:ascii="Times New Roman" w:cs="Times New Roman" w:eastAsia="Times New Roman" w:hAnsi="Times New Roman"/>
          <w:sz w:val="18"/>
          <w:szCs w:val="18"/>
          <w:color w:val="auto"/>
        </w:rPr>
      </w:pPr>
    </w:p>
    <w:p>
      <w:pPr>
        <w:ind w:left="4" w:right="20" w:firstLine="436"/>
        <w:spacing w:after="0" w:line="272" w:lineRule="auto"/>
        <w:tabs>
          <w:tab w:leader="none" w:pos="729"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Adjustment Deferral</w:t>
      </w:r>
      <w:r>
        <w:rPr>
          <w:rFonts w:ascii="Times New Roman" w:cs="Times New Roman" w:eastAsia="Times New Roman" w:hAnsi="Times New Roman"/>
          <w:sz w:val="17"/>
          <w:szCs w:val="17"/>
          <w:color w:val="auto"/>
        </w:rPr>
        <w:t>. If an adjustment to the Conversion Rate otherwise required by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result in a change of less than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percent (1%) to the Conversion Rate, then, notwithstanding anything to the contrary in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w:t>
      </w:r>
    </w:p>
    <w:p>
      <w:pPr>
        <w:ind w:left="4" w:right="300" w:hanging="4"/>
        <w:spacing w:after="0" w:line="260" w:lineRule="auto"/>
        <w:tabs>
          <w:tab w:leader="none" w:pos="26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Date of, or any VWAP Trading Day of an Observation Period for, any Note; (iii) the date a Fundamental Change or Make-Whole Fundamental Change occurs; (iv) the date the Company calls any Notes for Redemption; and (v) April 1, 2031.</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4"/>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ectPr>
          <w:pgSz w:w="11900" w:h="16838" w:orient="portrait"/>
          <w:cols w:equalWidth="0" w:num="1">
            <w:col w:w="11004"/>
          </w:cols>
          <w:pgMar w:left="436" w:top="266" w:right="459" w:bottom="1440" w:gutter="0" w:footer="0" w:header="0"/>
        </w:sectPr>
      </w:pPr>
    </w:p>
    <w:bookmarkStart w:id="70" w:name="page71"/>
    <w:bookmarkEnd w:id="70"/>
    <w:p>
      <w:pPr>
        <w:ind w:left="740" w:hanging="304"/>
        <w:spacing w:after="0"/>
        <w:tabs>
          <w:tab w:leader="none" w:pos="7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 Not Yet Effective</w:t>
      </w:r>
      <w:r>
        <w:rPr>
          <w:rFonts w:ascii="Times New Roman" w:cs="Times New Roman" w:eastAsia="Times New Roman" w:hAnsi="Times New Roman"/>
          <w:sz w:val="18"/>
          <w:szCs w:val="18"/>
          <w:color w:val="auto"/>
        </w:rPr>
        <w:t>. Notwithstanding anything to the contrary in this Indenture or the Notes, if:</w:t>
      </w:r>
    </w:p>
    <w:p>
      <w:pPr>
        <w:spacing w:after="0" w:line="11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Physical Settlement or Combination Settlement;</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18"/>
          <w:szCs w:val="18"/>
          <w:b w:val="1"/>
          <w:bCs w:val="1"/>
          <w:color w:val="auto"/>
        </w:rPr>
        <w:t xml:space="preserve">Section 5.05(A) </w:t>
      </w:r>
      <w:r>
        <w:rPr>
          <w:rFonts w:ascii="Times New Roman" w:cs="Times New Roman" w:eastAsia="Times New Roman" w:hAnsi="Times New Roman"/>
          <w:sz w:val="18"/>
          <w:szCs w:val="18"/>
          <w:color w:val="auto"/>
        </w:rPr>
        <w:t>has occurred on or before the Conversion Date for such Conversion (in the case of Physical Settlement) or on or before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7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and</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entitled to participate in such event (because they were not held on the related record date or otherwise),</w:t>
      </w:r>
    </w:p>
    <w:p>
      <w:pPr>
        <w:spacing w:after="0" w:line="22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determination date.</w:t>
      </w:r>
    </w:p>
    <w:p>
      <w:pPr>
        <w:spacing w:after="0" w:line="162" w:lineRule="exact"/>
        <w:rPr>
          <w:sz w:val="20"/>
          <w:szCs w:val="20"/>
          <w:color w:val="auto"/>
        </w:rPr>
      </w:pPr>
    </w:p>
    <w:p>
      <w:pPr>
        <w:ind w:right="120" w:firstLine="436"/>
        <w:spacing w:after="0" w:line="284" w:lineRule="auto"/>
        <w:tabs>
          <w:tab w:leader="none" w:pos="7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Rate Adjustments Where Converting Holders Participate in the Relevant Transaction or Event</w:t>
      </w:r>
      <w:r>
        <w:rPr>
          <w:rFonts w:ascii="Times New Roman" w:cs="Times New Roman" w:eastAsia="Times New Roman" w:hAnsi="Times New Roman"/>
          <w:sz w:val="18"/>
          <w:szCs w:val="18"/>
          <w:color w:val="auto"/>
        </w:rPr>
        <w:t>. Notwithstanding anything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in this Indenture or the Notes, if:</w:t>
      </w:r>
    </w:p>
    <w:p>
      <w:pPr>
        <w:spacing w:after="0" w:line="48"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Conversion Rate adjustment for any dividend or distribution becomes effective on any Ex-Dividend Date pursuant to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w:t>
      </w:r>
    </w:p>
    <w:p>
      <w:pPr>
        <w:spacing w:after="0" w:line="132"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Physical Settlement or Combination Settlement;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6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ectPr>
          <w:pgSz w:w="11900" w:h="16838" w:orient="portrait"/>
          <w:cols w:equalWidth="0" w:num="1">
            <w:col w:w="10900"/>
          </w:cols>
          <w:pgMar w:left="440" w:top="268" w:right="559" w:bottom="1440" w:gutter="0" w:footer="0" w:header="0"/>
        </w:sectPr>
      </w:pPr>
    </w:p>
    <w:bookmarkStart w:id="71" w:name="page72"/>
    <w:bookmarkEnd w:id="71"/>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 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5.02(C)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87" w:lineRule="exact"/>
        <w:rPr>
          <w:sz w:val="20"/>
          <w:szCs w:val="20"/>
          <w:color w:val="auto"/>
        </w:rPr>
      </w:pPr>
    </w:p>
    <w:p>
      <w:pPr>
        <w:ind w:left="4" w:right="40" w:firstLine="436"/>
        <w:spacing w:after="0" w:line="254" w:lineRule="auto"/>
        <w:tabs>
          <w:tab w:leader="none" w:pos="70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If any shares of Common Stock are to be issued upon Conversion of any Note and, at the time of such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on account of such separation as if, at the time of such separation, the Company had made a distribution of the type referred to in such Section to all holders of the Common Stock, subject to potential readjustment in accordance with the last paragraph of</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4" w:right="280" w:firstLine="436"/>
        <w:spacing w:after="0" w:line="267" w:lineRule="auto"/>
        <w:tabs>
          <w:tab w:leader="none" w:pos="73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Effecting Transactions Resulting in Certain Adjustments</w:t>
      </w:r>
      <w:r>
        <w:rPr>
          <w:rFonts w:ascii="Times New Roman" w:cs="Times New Roman" w:eastAsia="Times New Roman" w:hAnsi="Times New Roman"/>
          <w:sz w:val="18"/>
          <w:szCs w:val="18"/>
          <w:color w:val="auto"/>
        </w:rPr>
        <w:t>. The Company will not engage in or be a party to any transaction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that would require the Conversion Rate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an amount that would result in the Conversion Price per share of Common Stock being less than the par value per share of Common Stock.</w:t>
      </w:r>
    </w:p>
    <w:p>
      <w:pPr>
        <w:spacing w:after="0" w:line="173" w:lineRule="exact"/>
        <w:rPr>
          <w:rFonts w:ascii="Times New Roman" w:cs="Times New Roman" w:eastAsia="Times New Roman" w:hAnsi="Times New Roman"/>
          <w:sz w:val="18"/>
          <w:szCs w:val="18"/>
          <w:color w:val="auto"/>
        </w:rPr>
      </w:pPr>
    </w:p>
    <w:p>
      <w:pPr>
        <w:ind w:left="4" w:right="60" w:firstLine="436"/>
        <w:spacing w:after="0" w:line="257" w:lineRule="auto"/>
        <w:tabs>
          <w:tab w:leader="none" w:pos="73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Equitable Adjustments to Prices</w:t>
      </w:r>
      <w:r>
        <w:rPr>
          <w:rFonts w:ascii="Times New Roman" w:cs="Times New Roman" w:eastAsia="Times New Roman" w:hAnsi="Times New Roman"/>
          <w:sz w:val="18"/>
          <w:szCs w:val="18"/>
          <w:color w:val="auto"/>
        </w:rPr>
        <w:t>. Whenever any provision of this Indenture requires the Company to calculate the Last Reported Sale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Daily VWAPs, the Daily Conversion Values, the Daily Cash Amounts or the Daily Share Amounts over a period of multiple days (including over an Observation Period and the period, if any, for determining the Stock Price for purposes of a Make-Whole Fundamental Change),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such period.</w:t>
      </w:r>
    </w:p>
    <w:p>
      <w:pPr>
        <w:spacing w:after="0" w:line="180" w:lineRule="exact"/>
        <w:rPr>
          <w:rFonts w:ascii="Times New Roman" w:cs="Times New Roman" w:eastAsia="Times New Roman" w:hAnsi="Times New Roman"/>
          <w:sz w:val="18"/>
          <w:szCs w:val="18"/>
          <w:color w:val="auto"/>
        </w:rPr>
      </w:pPr>
    </w:p>
    <w:p>
      <w:pPr>
        <w:ind w:left="4" w:right="320" w:firstLine="436"/>
        <w:spacing w:after="0" w:line="278" w:lineRule="auto"/>
        <w:tabs>
          <w:tab w:leader="none" w:pos="669"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Calculation of Number of Outstanding Shares of Common Stock</w:t>
      </w:r>
      <w:r>
        <w:rPr>
          <w:rFonts w:ascii="Times New Roman" w:cs="Times New Roman" w:eastAsia="Times New Roman" w:hAnsi="Times New Roman"/>
          <w:sz w:val="17"/>
          <w:szCs w:val="17"/>
          <w:color w:val="auto"/>
        </w:rPr>
        <w:t>. For purposes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the number of shares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at any time will (i) include shares issuable in respect of scrip certificates issued in lieu of fractions of shares of Common Stock; and</w:t>
      </w:r>
    </w:p>
    <w:p>
      <w:pPr>
        <w:spacing w:after="0" w:line="1" w:lineRule="exact"/>
        <w:rPr>
          <w:rFonts w:ascii="Times New Roman" w:cs="Times New Roman" w:eastAsia="Times New Roman" w:hAnsi="Times New Roman"/>
          <w:sz w:val="17"/>
          <w:szCs w:val="17"/>
          <w:color w:val="auto"/>
        </w:rPr>
      </w:pPr>
    </w:p>
    <w:p>
      <w:pPr>
        <w:ind w:left="4" w:right="320" w:hanging="4"/>
        <w:spacing w:after="0" w:line="260" w:lineRule="auto"/>
        <w:tabs>
          <w:tab w:leader="none" w:pos="2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shares of Common Stock held in the Company’s treasury (unless the Company pays any dividend or makes any distribution on shares of Common Stock held in its treasury).</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1004"/>
          </w:cols>
          <w:pgMar w:left="436" w:top="266" w:right="459" w:bottom="1440" w:gutter="0" w:footer="0" w:header="0"/>
        </w:sectPr>
      </w:pPr>
    </w:p>
    <w:bookmarkStart w:id="72" w:name="page73"/>
    <w:bookmarkEnd w:id="72"/>
    <w:p>
      <w:pPr>
        <w:ind w:right="80" w:firstLine="436"/>
        <w:spacing w:after="0" w:line="284" w:lineRule="auto"/>
        <w:tabs>
          <w:tab w:leader="none" w:pos="6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Calculations</w:t>
      </w:r>
      <w:r>
        <w:rPr>
          <w:rFonts w:ascii="Times New Roman" w:cs="Times New Roman" w:eastAsia="Times New Roman" w:hAnsi="Times New Roman"/>
          <w:sz w:val="18"/>
          <w:szCs w:val="18"/>
          <w:color w:val="auto"/>
        </w:rPr>
        <w:t>. All calculations with respect to the Conversion Rate and adjustments thereto will be made to the nearest 1/10,000th of a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(with 5/100,000ths rounded upward).</w:t>
      </w:r>
    </w:p>
    <w:p>
      <w:pPr>
        <w:spacing w:after="0" w:line="156" w:lineRule="exact"/>
        <w:rPr>
          <w:rFonts w:ascii="Times New Roman" w:cs="Times New Roman" w:eastAsia="Times New Roman" w:hAnsi="Times New Roman"/>
          <w:sz w:val="18"/>
          <w:szCs w:val="18"/>
          <w:color w:val="auto"/>
        </w:rPr>
      </w:pPr>
    </w:p>
    <w:p>
      <w:pPr>
        <w:jc w:val="both"/>
        <w:ind w:right="180" w:firstLine="436"/>
        <w:spacing w:after="0" w:line="262" w:lineRule="auto"/>
        <w:tabs>
          <w:tab w:leader="none" w:pos="7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Conversion Rate Adjustments</w:t>
      </w:r>
      <w:r>
        <w:rPr>
          <w:rFonts w:ascii="Times New Roman" w:cs="Times New Roman" w:eastAsia="Times New Roman" w:hAnsi="Times New Roman"/>
          <w:sz w:val="18"/>
          <w:szCs w:val="18"/>
          <w:color w:val="auto"/>
        </w:rPr>
        <w:t>. Upon the effectiveness of any adjustment to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5.06. V</w:t>
      </w:r>
      <w:r>
        <w:rPr>
          <w:rFonts w:ascii="Times New Roman" w:cs="Times New Roman" w:eastAsia="Times New Roman" w:hAnsi="Times New Roman"/>
          <w:sz w:val="14"/>
          <w:szCs w:val="14"/>
          <w:b w:val="1"/>
          <w:bCs w:val="1"/>
          <w:color w:val="auto"/>
        </w:rPr>
        <w:t>OLUNTARY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DJUSTMENTS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firstLine="436"/>
        <w:spacing w:after="0" w:line="258" w:lineRule="auto"/>
        <w:tabs>
          <w:tab w:leader="none" w:pos="73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the extent permitted by law and applicable stock exchange rules, the Company, from time to time, may (but is not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81" w:lineRule="exact"/>
        <w:rPr>
          <w:rFonts w:ascii="Times New Roman" w:cs="Times New Roman" w:eastAsia="Times New Roman" w:hAnsi="Times New Roman"/>
          <w:sz w:val="18"/>
          <w:szCs w:val="18"/>
          <w:color w:val="auto"/>
        </w:rPr>
      </w:pPr>
    </w:p>
    <w:p>
      <w:pPr>
        <w:jc w:val="both"/>
        <w:ind w:right="20" w:firstLine="436"/>
        <w:spacing w:after="0" w:line="268" w:lineRule="auto"/>
        <w:tabs>
          <w:tab w:leader="none" w:pos="72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Voluntary Increases</w:t>
      </w:r>
      <w:r>
        <w:rPr>
          <w:rFonts w:ascii="Times New Roman" w:cs="Times New Roman" w:eastAsia="Times New Roman" w:hAnsi="Times New Roman"/>
          <w:sz w:val="18"/>
          <w:szCs w:val="18"/>
          <w:color w:val="auto"/>
        </w:rPr>
        <w:t>. If the Board of Directors determines to increase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then, no later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than the first Business Day of the related twenty (20) Business Day period referred to in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 Company will send notice to each Holder, the Trustee and the Conversion Agent of such increase, the amount thereof and the period during which such increase will be in effect.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5.07. A</w:t>
      </w:r>
      <w:r>
        <w:rPr>
          <w:rFonts w:ascii="Times New Roman" w:cs="Times New Roman" w:eastAsia="Times New Roman" w:hAnsi="Times New Roman"/>
          <w:sz w:val="14"/>
          <w:szCs w:val="14"/>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ATE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ONNECTION WITH 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AKE</w:t>
      </w: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140" w:firstLine="436"/>
        <w:spacing w:after="0" w:line="258" w:lineRule="auto"/>
        <w:tabs>
          <w:tab w:leader="none" w:pos="7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a Make-Whole Fundamental Change occurs with respect to any Note and the Conversion Date for the Conversion of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occurs during the related Make-Whole Fundamental Change Conversion Period, then, subject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the Conversion Rate applicable to such Conversion will be increased by a number of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1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1000"/>
          </w:cols>
          <w:pgMar w:left="440" w:top="268" w:right="4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3"/>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Make-Whole Fundamental</w:t>
            </w:r>
          </w:p>
        </w:tc>
        <w:tc>
          <w:tcPr>
            <w:tcW w:w="1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 Effective Date</w:t>
            </w:r>
          </w:p>
        </w:tc>
        <w:tc>
          <w:tcPr>
            <w:tcW w:w="19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$17.22</w:t>
            </w:r>
          </w:p>
        </w:tc>
        <w:tc>
          <w:tcPr>
            <w:tcW w:w="160" w:type="dxa"/>
            <w:vAlign w:val="bottom"/>
          </w:tcPr>
          <w:p>
            <w:pPr>
              <w:spacing w:after="0"/>
              <w:rPr>
                <w:sz w:val="16"/>
                <w:szCs w:val="16"/>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$20.00</w:t>
            </w:r>
          </w:p>
        </w:tc>
        <w:tc>
          <w:tcPr>
            <w:tcW w:w="16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$22.00</w:t>
            </w:r>
          </w:p>
        </w:tc>
        <w:tc>
          <w:tcPr>
            <w:tcW w:w="16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$24.11</w:t>
            </w:r>
          </w:p>
        </w:tc>
        <w:tc>
          <w:tcPr>
            <w:tcW w:w="1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$28.00</w:t>
            </w:r>
          </w:p>
        </w:tc>
        <w:tc>
          <w:tcPr>
            <w:tcW w:w="16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$31.34</w:t>
            </w:r>
          </w:p>
        </w:tc>
        <w:tc>
          <w:tcPr>
            <w:tcW w:w="16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$50.00</w:t>
            </w: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100.00</w:t>
            </w:r>
          </w:p>
        </w:tc>
        <w:tc>
          <w:tcPr>
            <w:tcW w:w="16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150.00</w:t>
            </w:r>
          </w:p>
        </w:tc>
        <w:tc>
          <w:tcPr>
            <w:tcW w:w="16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200.00</w:t>
            </w: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250.00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22, 2026</w:t>
            </w:r>
          </w:p>
        </w:tc>
        <w:tc>
          <w:tcPr>
            <w:tcW w:w="1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16.5920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13.1410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11.2682</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9.6810</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7.4864</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2"/>
              </w:rPr>
              <w:t>6.1190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2.4280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0.3938</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0.0649</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0.0009</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July 1, 2027</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16.5920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13.1410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11.2682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9.6810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7.4293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5.9738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2.1824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0.2856</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0.0299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2028</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16.5920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13.1410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11.2682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9.6109</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7.0754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5.5520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1.7866</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0.1634</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0.0011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July 1, 2029</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16.5920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13.1410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10.8927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8.8615</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6.2057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4.6672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1.1970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0.0506</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2030</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16.5920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12.0290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9.2636</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7.0892</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4.4189</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3.0048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0.4484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July 1, 2031</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16.5920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3.9745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If such Make-Whole Fundamental Change Effective Date or Stock Price is not set forth in the table above, then:</w:t>
      </w:r>
    </w:p>
    <w:p>
      <w:pPr>
        <w:spacing w:after="0" w:line="117" w:lineRule="exact"/>
        <w:rPr>
          <w:sz w:val="20"/>
          <w:szCs w:val="20"/>
          <w:color w:val="auto"/>
        </w:rPr>
      </w:pPr>
    </w:p>
    <w:p>
      <w:pPr>
        <w:ind w:left="440" w:right="20" w:firstLine="419"/>
        <w:spacing w:after="0" w:line="261" w:lineRule="auto"/>
        <w:tabs>
          <w:tab w:leader="none" w:pos="10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365-or 366-day year, as applicable; and</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Price is greater than $250.00 (subject to adjustment in the same manner as the Stock Prices set forth in the column headings of the table above are adjusted pursuant to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or less than $17.22 (subject to adjustment in the same manner), per share, then no Additional Shares will be added to the Conversion Rate.</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in no event will the Conversion Rate be increased to an amount that exceeds 58.0720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but subject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(x) the sending of a Redemption Notice for a Provisional Redemption will constitute a Make-Whole Fundamental Change only with respect to the Notes called for Provisional Redemption pursuant to such Redemption Notice, and not with respect to any other Notes; and (y) the Conversion Rate applicable to the Notes not so called for Provisional Redemption will not be subject to increase pursuant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on account of such Redemption Notice.</w:t>
      </w:r>
    </w:p>
    <w:p>
      <w:pPr>
        <w:spacing w:after="0" w:line="178" w:lineRule="exact"/>
        <w:rPr>
          <w:sz w:val="20"/>
          <w:szCs w:val="20"/>
          <w:color w:val="auto"/>
        </w:rPr>
      </w:pPr>
    </w:p>
    <w:p>
      <w:pPr>
        <w:jc w:val="both"/>
        <w:ind w:right="60" w:firstLine="436"/>
        <w:spacing w:after="0" w:line="261" w:lineRule="auto"/>
        <w:tabs>
          <w:tab w:leader="none" w:pos="7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Stock Prices and Number of Additional Shares</w:t>
      </w:r>
      <w:r>
        <w:rPr>
          <w:rFonts w:ascii="Times New Roman" w:cs="Times New Roman" w:eastAsia="Times New Roman" w:hAnsi="Times New Roman"/>
          <w:sz w:val="18"/>
          <w:szCs w:val="18"/>
          <w:color w:val="auto"/>
        </w:rPr>
        <w:t>. The Stock Prices in the first row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column headers) of the table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The numbers of Additional Shares in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80" w:firstLine="436"/>
        <w:spacing w:after="0" w:line="277" w:lineRule="auto"/>
        <w:tabs>
          <w:tab w:leader="none" w:pos="72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the Occurrence of a Make-Whole Fundamental Change</w:t>
      </w:r>
      <w:r>
        <w:rPr>
          <w:rFonts w:ascii="Times New Roman" w:cs="Times New Roman" w:eastAsia="Times New Roman" w:hAnsi="Times New Roman"/>
          <w:sz w:val="17"/>
          <w:szCs w:val="17"/>
          <w:color w:val="auto"/>
        </w:rPr>
        <w:t>. The Company will notify the Holders, the Trustee and the Conversion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Agent of each Make-Whole Fundamental Change (i) occurring pursuant to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of the definition thereof in accordance with </w:t>
      </w:r>
      <w:r>
        <w:rPr>
          <w:rFonts w:ascii="Times New Roman" w:cs="Times New Roman" w:eastAsia="Times New Roman" w:hAnsi="Times New Roman"/>
          <w:sz w:val="17"/>
          <w:szCs w:val="17"/>
          <w:b w:val="1"/>
          <w:bCs w:val="1"/>
          <w:color w:val="auto"/>
        </w:rPr>
        <w:t>Section 5.01(C)(i)(3)</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and (ii) occurring pursuant to</w:t>
      </w:r>
      <w:r>
        <w:rPr>
          <w:rFonts w:ascii="Times New Roman" w:cs="Times New Roman" w:eastAsia="Times New Roman" w:hAnsi="Times New Roman"/>
          <w:sz w:val="18"/>
          <w:szCs w:val="18"/>
          <w:b w:val="1"/>
          <w:bCs w:val="1"/>
          <w:color w:val="auto"/>
        </w:rPr>
        <w:t xml:space="preserve"> clause (B) </w:t>
      </w:r>
      <w:r>
        <w:rPr>
          <w:rFonts w:ascii="Times New Roman" w:cs="Times New Roman" w:eastAsia="Times New Roman" w:hAnsi="Times New Roman"/>
          <w:sz w:val="18"/>
          <w:szCs w:val="18"/>
          <w:color w:val="auto"/>
        </w:rPr>
        <w:t>of the definition thereof in accordance with</w:t>
      </w:r>
      <w:r>
        <w:rPr>
          <w:rFonts w:ascii="Times New Roman" w:cs="Times New Roman" w:eastAsia="Times New Roman" w:hAnsi="Times New Roman"/>
          <w:sz w:val="18"/>
          <w:szCs w:val="18"/>
          <w:b w:val="1"/>
          <w:bCs w:val="1"/>
          <w:color w:val="auto"/>
        </w:rPr>
        <w:t xml:space="preserve"> Section 4.03(G)</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1020"/>
          </w:cols>
          <w:pgMar w:left="440" w:top="263"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5.08. E</w:t>
      </w:r>
      <w:r>
        <w:rPr>
          <w:rFonts w:ascii="Times New Roman" w:cs="Times New Roman" w:eastAsia="Times New Roman" w:hAnsi="Times New Roman"/>
          <w:sz w:val="14"/>
          <w:szCs w:val="14"/>
          <w:b w:val="1"/>
          <w:bCs w:val="1"/>
          <w:color w:val="auto"/>
        </w:rPr>
        <w:t>XCHANGE IN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IEU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and subject to the terms of this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80" w:lineRule="exact"/>
        <w:rPr>
          <w:sz w:val="20"/>
          <w:szCs w:val="20"/>
          <w:color w:val="auto"/>
        </w:rPr>
      </w:pPr>
    </w:p>
    <w:p>
      <w:pPr>
        <w:ind w:firstLine="436"/>
        <w:spacing w:after="0" w:line="261" w:lineRule="auto"/>
        <w:tabs>
          <w:tab w:leader="none" w:pos="7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72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179"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will not cease to be outstanding by reason of such exchange in lieu of Conversion;</w:t>
      </w:r>
    </w:p>
    <w:p>
      <w:pPr>
        <w:spacing w:after="0" w:line="22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financial institution does not accept such Note or fails to timely deliver such Conversion Consideration, 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be responsible for delivering such Conversion Consideration in the manner and at the time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as if the Company had not elected to make an exchange in lieu of Conversion.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5.09. E</w:t>
      </w:r>
      <w:r>
        <w:rPr>
          <w:rFonts w:ascii="Times New Roman" w:cs="Times New Roman" w:eastAsia="Times New Roman" w:hAnsi="Times New Roman"/>
          <w:sz w:val="14"/>
          <w:szCs w:val="14"/>
          <w:b w:val="1"/>
          <w:bCs w:val="1"/>
          <w:color w:val="auto"/>
        </w:rPr>
        <w:t>FFECT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740" w:hanging="304"/>
        <w:spacing w:after="0"/>
        <w:tabs>
          <w:tab w:leader="none" w:pos="7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119"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07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 Person;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ectPr>
          <w:pgSz w:w="11900" w:h="16838" w:orient="portrait"/>
          <w:cols w:equalWidth="0" w:num="1">
            <w:col w:w="10940"/>
          </w:cols>
          <w:pgMar w:left="440" w:top="266" w:right="519" w:bottom="1440" w:gutter="0" w:footer="0" w:header="0"/>
        </w:sectPr>
      </w:pPr>
    </w:p>
    <w:bookmarkStart w:id="75" w:name="page76"/>
    <w:bookmarkEnd w:id="75"/>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other similar event,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cash or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Indenture or the Notes,</w:t>
      </w:r>
    </w:p>
    <w:p>
      <w:pPr>
        <w:spacing w:after="0" w:line="75" w:lineRule="exact"/>
        <w:rPr>
          <w:sz w:val="20"/>
          <w:szCs w:val="20"/>
          <w:color w:val="auto"/>
        </w:rPr>
      </w:pPr>
    </w:p>
    <w:p>
      <w:pPr>
        <w:ind w:left="440" w:firstLine="419"/>
        <w:spacing w:after="0" w:line="255"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if applicable); and (y) the amount of cash constituting such Reference Property Unit; and (II) the Company will settle each such Conversion no later than the fifth (5th) Business Day after the relevant Conversion Date; and</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0980"/>
          </w:cols>
          <w:pgMar w:left="440" w:top="270" w:right="479" w:bottom="1440" w:gutter="0" w:footer="0" w:header="0"/>
        </w:sectPr>
      </w:pPr>
    </w:p>
    <w:bookmarkStart w:id="76" w:name="page77"/>
    <w:bookmarkEnd w:id="76"/>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Subject to the last sentence of this paragraph, 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to the Trustee a supplemental indenture pursuant to </w:t>
      </w:r>
      <w:r>
        <w:rPr>
          <w:rFonts w:ascii="Times New Roman" w:cs="Times New Roman" w:eastAsia="Times New Roman" w:hAnsi="Times New Roman"/>
          <w:sz w:val="18"/>
          <w:szCs w:val="18"/>
          <w:b w:val="1"/>
          <w:bCs w:val="1"/>
          <w:color w:val="auto"/>
        </w:rPr>
        <w:t>Section 8.01(F)</w:t>
      </w:r>
      <w:r>
        <w:rPr>
          <w:rFonts w:ascii="Times New Roman" w:cs="Times New Roman" w:eastAsia="Times New Roman" w:hAnsi="Times New Roman"/>
          <w:sz w:val="18"/>
          <w:szCs w:val="18"/>
          <w:color w:val="auto"/>
        </w:rPr>
        <w:t xml:space="preserve">, which supplemental indenture will (x) provide for subsequent Conversions of Notes in the manner set forth in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(y) provide for subsequent adjustments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in a manner consistent with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 Notwithstanding anything to the contrary in this paragraph, no such supplemental indenture is required (but the Company may nonetheless choose to execute such a supplemental indenture at its option) if (i) the Company is the resulting, surviving or transferee Person of such Common Stock Change Event; and (ii) the Reference Property of such Common Stock Change Event does not include consideration other than cash or securities of the Company.</w:t>
      </w:r>
    </w:p>
    <w:p>
      <w:pPr>
        <w:spacing w:after="0" w:line="188" w:lineRule="exact"/>
        <w:rPr>
          <w:sz w:val="20"/>
          <w:szCs w:val="20"/>
          <w:color w:val="auto"/>
        </w:rPr>
      </w:pPr>
    </w:p>
    <w:p>
      <w:pPr>
        <w:ind w:right="80" w:firstLine="436"/>
        <w:spacing w:after="0" w:line="284" w:lineRule="auto"/>
        <w:tabs>
          <w:tab w:leader="none" w:pos="72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Common Stock Change Events</w:t>
      </w:r>
      <w:r>
        <w:rPr>
          <w:rFonts w:ascii="Times New Roman" w:cs="Times New Roman" w:eastAsia="Times New Roman" w:hAnsi="Times New Roman"/>
          <w:sz w:val="18"/>
          <w:szCs w:val="18"/>
          <w:color w:val="auto"/>
        </w:rPr>
        <w:t>. The Company will provide notice of each Common Stock Change Event to Holders, the Trustee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Agent no later than the Business Day after the effective date of such Common Stock Change Event.</w:t>
      </w:r>
    </w:p>
    <w:p>
      <w:pPr>
        <w:spacing w:after="0" w:line="158" w:lineRule="exact"/>
        <w:rPr>
          <w:rFonts w:ascii="Times New Roman" w:cs="Times New Roman" w:eastAsia="Times New Roman" w:hAnsi="Times New Roman"/>
          <w:sz w:val="18"/>
          <w:szCs w:val="18"/>
          <w:color w:val="auto"/>
        </w:rPr>
      </w:pPr>
    </w:p>
    <w:p>
      <w:pPr>
        <w:ind w:right="260" w:firstLine="436"/>
        <w:spacing w:after="0" w:line="284" w:lineRule="auto"/>
        <w:tabs>
          <w:tab w:leader="none" w:pos="72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 terms are consistent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 SUCCESSORS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W</w:t>
      </w:r>
      <w:r>
        <w:rPr>
          <w:rFonts w:ascii="Times New Roman" w:cs="Times New Roman" w:eastAsia="Times New Roman" w:hAnsi="Times New Roman"/>
          <w:sz w:val="14"/>
          <w:szCs w:val="14"/>
          <w:b w:val="1"/>
          <w:bCs w:val="1"/>
          <w:color w:val="auto"/>
        </w:rPr>
        <w:t>HEN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right="280" w:firstLine="436"/>
        <w:spacing w:after="0" w:line="267" w:lineRule="auto"/>
        <w:tabs>
          <w:tab w:leader="none" w:pos="73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not consolidate with or merge with or into, or (directly, or indirectly through one or more of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7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Qualified Successor Entity (such Qualified Successor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the Company’s obligations under this Indenture and the Notes; and</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ectPr>
          <w:pgSz w:w="11900" w:h="16838" w:orient="portrait"/>
          <w:cols w:equalWidth="0" w:num="1">
            <w:col w:w="11020"/>
          </w:cols>
          <w:pgMar w:left="440" w:top="270" w:right="439" w:bottom="1440" w:gutter="0" w:footer="0" w:header="0"/>
        </w:sectPr>
      </w:pPr>
    </w:p>
    <w:bookmarkStart w:id="77" w:name="page78"/>
    <w:bookmarkEnd w:id="77"/>
    <w:p>
      <w:pPr>
        <w:ind w:left="440" w:right="760" w:firstLine="419"/>
        <w:spacing w:after="0" w:line="282" w:lineRule="auto"/>
        <w:tabs>
          <w:tab w:leader="none" w:pos="112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after giving effect to such Business Combination Event, no Default or Event of Default will have occurred and be continuing.</w:t>
      </w:r>
    </w:p>
    <w:p>
      <w:pPr>
        <w:spacing w:after="0" w:line="159" w:lineRule="exact"/>
        <w:rPr>
          <w:rFonts w:ascii="Times New Roman" w:cs="Times New Roman" w:eastAsia="Times New Roman" w:hAnsi="Times New Roman"/>
          <w:sz w:val="18"/>
          <w:szCs w:val="18"/>
          <w:color w:val="auto"/>
        </w:rPr>
      </w:pPr>
    </w:p>
    <w:p>
      <w:pPr>
        <w:ind w:right="120" w:firstLine="436"/>
        <w:spacing w:after="0" w:line="261" w:lineRule="auto"/>
        <w:tabs>
          <w:tab w:leader="none" w:pos="7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Officer’s Certificate and Opinion of Counsel to the Trustee</w:t>
      </w:r>
      <w:r>
        <w:rPr>
          <w:rFonts w:ascii="Times New Roman" w:cs="Times New Roman" w:eastAsia="Times New Roman" w:hAnsi="Times New Roman"/>
          <w:sz w:val="18"/>
          <w:szCs w:val="18"/>
          <w:color w:val="auto"/>
        </w:rPr>
        <w:t>. At or before the effective time of any Business Combination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and (ii) all conditions precedent to such Business Combination Event provided in this Indenture have been satisfied.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6.02. S</w:t>
      </w:r>
      <w:r>
        <w:rPr>
          <w:rFonts w:ascii="Times New Roman" w:cs="Times New Roman" w:eastAsia="Times New Roman" w:hAnsi="Times New Roman"/>
          <w:sz w:val="14"/>
          <w:szCs w:val="14"/>
          <w:b w:val="1"/>
          <w:bCs w:val="1"/>
          <w:color w:val="auto"/>
        </w:rPr>
        <w:t>UCCESSOR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NTITY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UBSTITUTED</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At the effective time of any Business Combination Event that complies with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6.03. E</w:t>
      </w:r>
      <w:r>
        <w:rPr>
          <w:rFonts w:ascii="Times New Roman" w:cs="Times New Roman" w:eastAsia="Times New Roman" w:hAnsi="Times New Roman"/>
          <w:sz w:val="14"/>
          <w:szCs w:val="14"/>
          <w:b w:val="1"/>
          <w:bCs w:val="1"/>
          <w:color w:val="auto"/>
        </w:rPr>
        <w:t>XCLUSION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RANSFERS WITH</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HOLLY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WNED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UBSIDIARIES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will not apply to any transfer of assets between or among the Company and any one or more of its Wholly Owned Subsidiaries not effected by merger or consolidation.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 DEFAULTS AND 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740" w:hanging="304"/>
        <w:spacing w:after="0"/>
        <w:tabs>
          <w:tab w:leader="none" w:pos="7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121"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(whether at maturity, upon Redemption or Repurchase Upon Fundamental Change or otherwise) of the principal of, or the Redemption Price or Fundamental Change Repurchase Price for, any Note;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thirty (30) consecutive days in the payment when due of any Special Interest or Additional Interest that has accrued on any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8"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deliver, when required by this Indenture, a Fundamental Change Notice, or a notice pursuant to</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5.01(C)(i)(3)</w:t>
      </w:r>
      <w:r>
        <w:rPr>
          <w:rFonts w:ascii="Times New Roman" w:cs="Times New Roman" w:eastAsia="Times New Roman" w:hAnsi="Times New Roman"/>
          <w:sz w:val="18"/>
          <w:szCs w:val="18"/>
          <w:color w:val="auto"/>
        </w:rPr>
        <w:t>, if (in the case of any notice other than a notice pursuant to</w:t>
      </w:r>
      <w:r>
        <w:rPr>
          <w:rFonts w:ascii="Times New Roman" w:cs="Times New Roman" w:eastAsia="Times New Roman" w:hAnsi="Times New Roman"/>
          <w:sz w:val="18"/>
          <w:szCs w:val="18"/>
          <w:b w:val="1"/>
          <w:bCs w:val="1"/>
          <w:color w:val="auto"/>
        </w:rPr>
        <w:t xml:space="preserve"> Section 5.01(C)(i)(3)(a)</w:t>
      </w:r>
      <w:r>
        <w:rPr>
          <w:rFonts w:ascii="Times New Roman" w:cs="Times New Roman" w:eastAsia="Times New Roman" w:hAnsi="Times New Roman"/>
          <w:sz w:val="18"/>
          <w:szCs w:val="18"/>
          <w:color w:val="auto"/>
        </w:rPr>
        <w:t>) such failure is not cured within five</w:t>
      </w:r>
    </w:p>
    <w:p>
      <w:pPr>
        <w:spacing w:after="0" w:line="9" w:lineRule="exact"/>
        <w:rPr>
          <w:sz w:val="20"/>
          <w:szCs w:val="20"/>
          <w:color w:val="auto"/>
        </w:rPr>
      </w:pPr>
    </w:p>
    <w:p>
      <w:pPr>
        <w:ind w:left="700" w:hanging="264"/>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its occurrence;</w:t>
      </w:r>
    </w:p>
    <w:p>
      <w:pPr>
        <w:spacing w:after="0" w:line="94" w:lineRule="exact"/>
        <w:rPr>
          <w:rFonts w:ascii="Times New Roman" w:cs="Times New Roman" w:eastAsia="Times New Roman" w:hAnsi="Times New Roman"/>
          <w:sz w:val="18"/>
          <w:szCs w:val="18"/>
          <w:color w:val="auto"/>
        </w:rPr>
      </w:pPr>
    </w:p>
    <w:p>
      <w:pPr>
        <w:ind w:left="440" w:right="300" w:firstLine="419"/>
        <w:spacing w:after="0" w:line="286" w:lineRule="auto"/>
        <w:tabs>
          <w:tab w:leader="none" w:pos="116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Convert a Note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the exercise of the Conversion right with respect thereto, if such default is not cured within three (3) Business Days after its occurrence;</w:t>
      </w:r>
    </w:p>
    <w:p>
      <w:pPr>
        <w:spacing w:after="0" w:line="9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ectPr>
          <w:pgSz w:w="11900" w:h="16838" w:orient="portrait"/>
          <w:cols w:equalWidth="0" w:num="1">
            <w:col w:w="11000"/>
          </w:cols>
          <w:pgMar w:left="440" w:top="270" w:right="459" w:bottom="1440" w:gutter="0" w:footer="0" w:header="0"/>
        </w:sectPr>
      </w:pPr>
    </w:p>
    <w:bookmarkStart w:id="78" w:name="page79"/>
    <w:bookmarkEnd w:id="78"/>
    <w:p>
      <w:pPr>
        <w:ind w:left="680" w:hanging="261"/>
        <w:spacing w:after="0"/>
        <w:tabs>
          <w:tab w:leader="none" w:pos="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default in the Company’s obligations under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Indenture or the Notes (other than a default set forth in </w:t>
      </w:r>
      <w:r>
        <w:rPr>
          <w:rFonts w:ascii="Times New Roman" w:cs="Times New Roman" w:eastAsia="Times New Roman" w:hAnsi="Times New Roman"/>
          <w:sz w:val="18"/>
          <w:szCs w:val="18"/>
          <w:b w:val="1"/>
          <w:bCs w:val="1"/>
          <w:color w:val="auto"/>
        </w:rPr>
        <w:t>clause</w:t>
      </w:r>
    </w:p>
    <w:p>
      <w:pPr>
        <w:spacing w:after="0" w:line="31" w:lineRule="exact"/>
        <w:rPr>
          <w:rFonts w:ascii="Times New Roman" w:cs="Times New Roman" w:eastAsia="Times New Roman" w:hAnsi="Times New Roman"/>
          <w:sz w:val="18"/>
          <w:szCs w:val="18"/>
          <w:color w:val="auto"/>
        </w:rPr>
      </w:pPr>
    </w:p>
    <w:p>
      <w:pPr>
        <w:jc w:val="both"/>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(v)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7.01(A)</w:t>
      </w:r>
      <w:r>
        <w:rPr>
          <w:rFonts w:ascii="Times New Roman" w:cs="Times New Roman" w:eastAsia="Times New Roman" w:hAnsi="Times New Roman"/>
          <w:sz w:val="18"/>
          <w:szCs w:val="18"/>
          <w:color w:val="auto"/>
        </w:rPr>
        <w:t>) where such default is not cured or waived within sixty (60) days after notice to the Company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77" w:lineRule="exact"/>
        <w:rPr>
          <w:rFonts w:ascii="Times New Roman" w:cs="Times New Roman" w:eastAsia="Times New Roman" w:hAnsi="Times New Roman"/>
          <w:sz w:val="18"/>
          <w:szCs w:val="18"/>
          <w:color w:val="auto"/>
        </w:rPr>
      </w:pPr>
    </w:p>
    <w:p>
      <w:pPr>
        <w:ind w:firstLine="419"/>
        <w:spacing w:after="0" w:line="261" w:lineRule="auto"/>
        <w:tabs>
          <w:tab w:leader="none" w:pos="7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the Company or any of the Company’s Significant Subsidiaries with respect to any one or more mortgages, agreements or other instruments under which there is outstanding, or by which there is secured or evidenced, any indebtedness for money borrowed of at least fifty million dollars ($50,000,000) (or its foreign currency equivalent) in the aggregate of the Company or any of the Company’s Significant Subsidiaries, whether such indebtedness exists as of the Issue Date or is thereafter created, where such default:</w:t>
      </w:r>
    </w:p>
    <w:p>
      <w:pPr>
        <w:spacing w:after="0" w:line="71" w:lineRule="exact"/>
        <w:rPr>
          <w:rFonts w:ascii="Times New Roman" w:cs="Times New Roman" w:eastAsia="Times New Roman" w:hAnsi="Times New Roman"/>
          <w:sz w:val="18"/>
          <w:szCs w:val="18"/>
          <w:color w:val="auto"/>
        </w:rPr>
      </w:pPr>
    </w:p>
    <w:p>
      <w:pPr>
        <w:ind w:left="540" w:right="600" w:firstLine="408"/>
        <w:spacing w:after="0" w:line="312" w:lineRule="auto"/>
        <w:tabs>
          <w:tab w:leader="none" w:pos="1196"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31" w:lineRule="exact"/>
        <w:rPr>
          <w:rFonts w:ascii="Times New Roman" w:cs="Times New Roman" w:eastAsia="Times New Roman" w:hAnsi="Times New Roman"/>
          <w:sz w:val="17"/>
          <w:szCs w:val="17"/>
          <w:color w:val="auto"/>
        </w:rPr>
      </w:pPr>
    </w:p>
    <w:p>
      <w:pPr>
        <w:ind w:left="1200" w:hanging="252"/>
        <w:spacing w:after="0"/>
        <w:tabs>
          <w:tab w:leader="none" w:pos="12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such indebtedness becoming or being declared due and payable before its stated maturity,</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 and</w:t>
      </w:r>
    </w:p>
    <w:p>
      <w:pPr>
        <w:spacing w:after="0" w:line="54" w:lineRule="exact"/>
        <w:rPr>
          <w:sz w:val="20"/>
          <w:szCs w:val="20"/>
          <w:color w:val="auto"/>
        </w:rPr>
      </w:pPr>
    </w:p>
    <w:p>
      <w:pPr>
        <w:ind w:left="820" w:hanging="401"/>
        <w:spacing w:after="0"/>
        <w:tabs>
          <w:tab w:leader="none" w:pos="8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157"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0440"/>
          </w:cols>
          <w:pgMar w:left="880" w:top="266" w:right="579" w:bottom="1440" w:gutter="0" w:footer="0" w:header="0"/>
        </w:sectPr>
      </w:pPr>
    </w:p>
    <w:bookmarkStart w:id="79" w:name="page80"/>
    <w:bookmarkEnd w:id="79"/>
    <w:p>
      <w:pPr>
        <w:ind w:left="1640" w:hanging="252"/>
        <w:spacing w:after="0"/>
        <w:tabs>
          <w:tab w:leader="none" w:pos="1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for relief against the Company or any of its Significant Subsidiaries in an involuntary case or proceeding;</w:t>
      </w:r>
    </w:p>
    <w:p>
      <w:pPr>
        <w:spacing w:after="0" w:line="117" w:lineRule="exact"/>
        <w:rPr>
          <w:rFonts w:ascii="Times New Roman" w:cs="Times New Roman" w:eastAsia="Times New Roman" w:hAnsi="Times New Roman"/>
          <w:sz w:val="18"/>
          <w:szCs w:val="18"/>
          <w:color w:val="auto"/>
        </w:rPr>
      </w:pPr>
    </w:p>
    <w:p>
      <w:pPr>
        <w:ind w:left="980" w:right="480" w:firstLine="408"/>
        <w:spacing w:after="0" w:line="282" w:lineRule="auto"/>
        <w:tabs>
          <w:tab w:leader="none" w:pos="16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under any foreign Bankruptcy Law,</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such order or decree remains unstayed and in effect for at least sixty (60) days.</w:t>
      </w:r>
    </w:p>
    <w:p>
      <w:pPr>
        <w:spacing w:after="0" w:line="225" w:lineRule="exact"/>
        <w:rPr>
          <w:sz w:val="20"/>
          <w:szCs w:val="20"/>
          <w:color w:val="auto"/>
        </w:rPr>
      </w:pPr>
    </w:p>
    <w:p>
      <w:pPr>
        <w:jc w:val="both"/>
        <w:ind w:right="20" w:firstLine="436"/>
        <w:spacing w:after="0" w:line="268" w:lineRule="auto"/>
        <w:tabs>
          <w:tab w:leader="none" w:pos="72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 Irrelevant</w:t>
      </w:r>
      <w:r>
        <w:rPr>
          <w:rFonts w:ascii="Times New Roman" w:cs="Times New Roman" w:eastAsia="Times New Roman" w:hAnsi="Times New Roman"/>
          <w:sz w:val="18"/>
          <w:szCs w:val="18"/>
          <w:color w:val="auto"/>
        </w:rPr>
        <w:t>. Each of the events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constitute an Event of Default regardless of the cause thereof or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or involuntary or effected by operation of law or pursuant to any judgment, decree or order of any court or any order, rule or regulation of any administrative or governmental body.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7.02. A</w:t>
      </w:r>
      <w:r>
        <w:rPr>
          <w:rFonts w:ascii="Times New Roman" w:cs="Times New Roman" w:eastAsia="Times New Roman" w:hAnsi="Times New Roman"/>
          <w:sz w:val="14"/>
          <w:szCs w:val="14"/>
          <w:b w:val="1"/>
          <w:bCs w:val="1"/>
          <w:color w:val="auto"/>
        </w:rPr>
        <w:t>CCELERATION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100" w:firstLine="436"/>
        <w:spacing w:after="0" w:line="291" w:lineRule="auto"/>
        <w:tabs>
          <w:tab w:leader="none" w:pos="73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Automatic Acceleration in Certain Circumstances</w:t>
      </w:r>
      <w:r>
        <w:rPr>
          <w:rFonts w:ascii="Times New Roman" w:cs="Times New Roman" w:eastAsia="Times New Roman" w:hAnsi="Times New Roman"/>
          <w:sz w:val="17"/>
          <w:szCs w:val="17"/>
          <w:color w:val="auto"/>
        </w:rPr>
        <w:t>. If an Event of Default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7.01(A)(viii)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7.01(A)(ix)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occurs with respect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(and not solely with respect to a Significant Subsidiary of the Company), then the principal amount of, and all accrued and unpaid interest, if any, on, all of the Notes then outstanding will immediately become due and payable without any further action or notice by any Person.</w:t>
      </w:r>
    </w:p>
    <w:p>
      <w:pPr>
        <w:spacing w:after="0" w:line="152" w:lineRule="exact"/>
        <w:rPr>
          <w:rFonts w:ascii="Times New Roman" w:cs="Times New Roman" w:eastAsia="Times New Roman" w:hAnsi="Times New Roman"/>
          <w:sz w:val="17"/>
          <w:szCs w:val="17"/>
          <w:color w:val="auto"/>
        </w:rPr>
      </w:pPr>
    </w:p>
    <w:p>
      <w:pPr>
        <w:ind w:left="720" w:hanging="284"/>
        <w:spacing w:after="0"/>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p>
    <w:p>
      <w:pPr>
        <w:spacing w:after="0" w:line="3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7.01(A)(ix) </w:t>
      </w:r>
      <w:r>
        <w:rPr>
          <w:rFonts w:ascii="Times New Roman" w:cs="Times New Roman" w:eastAsia="Times New Roman" w:hAnsi="Times New Roman"/>
          <w:sz w:val="18"/>
          <w:szCs w:val="18"/>
          <w:color w:val="auto"/>
        </w:rPr>
        <w:t>with respect to the Company and not solely with respect to a Significant Subsidiary of the Company) occurs and is continuing,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by notice to the Company, or Holders of at least twenty five percent (25%) of the aggregate principal amount of Notes then outstanding, by notice to the Company and the Trustee, may declare the principal amount of, and all accrued and unpaid interest, if any,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w:t>
      </w:r>
    </w:p>
    <w:p>
      <w:pPr>
        <w:spacing w:after="0" w:line="188" w:lineRule="exact"/>
        <w:rPr>
          <w:sz w:val="20"/>
          <w:szCs w:val="20"/>
          <w:color w:val="auto"/>
        </w:rPr>
      </w:pPr>
    </w:p>
    <w:p>
      <w:pPr>
        <w:ind w:firstLine="436"/>
        <w:spacing w:after="0" w:line="258" w:lineRule="auto"/>
        <w:tabs>
          <w:tab w:leader="none" w:pos="7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Rescission of Acceleration</w:t>
      </w:r>
      <w:r>
        <w:rPr>
          <w:rFonts w:ascii="Times New Roman" w:cs="Times New Roman" w:eastAsia="Times New Roman" w:hAnsi="Times New Roman"/>
          <w:sz w:val="18"/>
          <w:szCs w:val="18"/>
          <w:color w:val="auto"/>
        </w:rPr>
        <w:t>. Notwithstanding anything to the contrary in this Indenture or the Notes, the Holders of a majority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if any, on, the Notes that has become due solely because of such acceleration) have been cured or waived. No such rescission will affect any subsequent Default or impair any right consequent thereto.</w:t>
      </w:r>
    </w:p>
    <w:p>
      <w:pPr>
        <w:spacing w:after="0" w:line="11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0980"/>
          </w:cols>
          <w:pgMar w:left="440" w:top="270" w:right="479" w:bottom="1440" w:gutter="0" w:footer="0" w:header="0"/>
        </w:sectPr>
      </w:pPr>
    </w:p>
    <w:bookmarkStart w:id="80" w:name="page81"/>
    <w:bookmarkEnd w:id="8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7.03. S</w:t>
      </w:r>
      <w:r>
        <w:rPr>
          <w:rFonts w:ascii="Times New Roman" w:cs="Times New Roman" w:eastAsia="Times New Roman" w:hAnsi="Times New Roman"/>
          <w:sz w:val="14"/>
          <w:szCs w:val="14"/>
          <w:b w:val="1"/>
          <w:bCs w:val="1"/>
          <w:color w:val="auto"/>
        </w:rPr>
        <w:t>OLE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EMEDY FOR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AILURE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EPORT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firstLine="436"/>
        <w:spacing w:after="0" w:line="269" w:lineRule="auto"/>
        <w:tabs>
          <w:tab w:leader="none" w:pos="739"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Notwithstanding anything to the contrary in this Indenture or the Notes, the Company may elect that the sole remedy for any Event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Default (a “</w:t>
      </w:r>
      <w:r>
        <w:rPr>
          <w:rFonts w:ascii="Times New Roman" w:cs="Times New Roman" w:eastAsia="Times New Roman" w:hAnsi="Times New Roman"/>
          <w:sz w:val="17"/>
          <w:szCs w:val="17"/>
          <w:b w:val="1"/>
          <w:bCs w:val="1"/>
          <w:color w:val="auto"/>
        </w:rPr>
        <w:t>Reporting Event of Default</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b w:val="1"/>
          <w:bCs w:val="1"/>
          <w:color w:val="auto"/>
        </w:rPr>
        <w:t>Section 7.01(A)(vi)</w:t>
      </w:r>
      <w:r>
        <w:rPr>
          <w:rFonts w:ascii="Times New Roman" w:cs="Times New Roman" w:eastAsia="Times New Roman" w:hAnsi="Times New Roman"/>
          <w:sz w:val="17"/>
          <w:szCs w:val="17"/>
          <w:color w:val="auto"/>
        </w:rPr>
        <w:t xml:space="preserve"> arising from the Company’s failure to comply with </w:t>
      </w:r>
      <w:r>
        <w:rPr>
          <w:rFonts w:ascii="Times New Roman" w:cs="Times New Roman" w:eastAsia="Times New Roman" w:hAnsi="Times New Roman"/>
          <w:sz w:val="17"/>
          <w:szCs w:val="17"/>
          <w:b w:val="1"/>
          <w:bCs w:val="1"/>
          <w:color w:val="auto"/>
        </w:rPr>
        <w:t>Section 3.02</w:t>
      </w:r>
      <w:r>
        <w:rPr>
          <w:rFonts w:ascii="Times New Roman" w:cs="Times New Roman" w:eastAsia="Times New Roman" w:hAnsi="Times New Roman"/>
          <w:sz w:val="17"/>
          <w:szCs w:val="17"/>
          <w:color w:val="auto"/>
        </w:rPr>
        <w:t xml:space="preserve"> will, for each of the first three hundred sixty five (365)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17"/>
          <w:szCs w:val="17"/>
          <w:b w:val="1"/>
          <w:bCs w:val="1"/>
          <w:color w:val="auto"/>
        </w:rPr>
        <w:t xml:space="preserve">Section 7.02 </w:t>
      </w:r>
      <w:r>
        <w:rPr>
          <w:rFonts w:ascii="Times New Roman" w:cs="Times New Roman" w:eastAsia="Times New Roman" w:hAnsi="Times New Roman"/>
          <w:sz w:val="17"/>
          <w:szCs w:val="17"/>
          <w:color w:val="auto"/>
        </w:rPr>
        <w:t>on account of the relevant Reporting Event of Default from, and including, the three hundred sixty sixth (366th) calendar day on which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Reporting Event of Default has occurred and is continuing or if the Company fails to pay any accrued and unpaid Special Interest when due; and</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Special Interest will cease to accrue on any Notes from, and including, such three hundred sixty sixth (366th) calendar day (it being understood that interest on any defaulted Special Interest will nonetheless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72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Special Interest</w:t>
      </w:r>
      <w:r>
        <w:rPr>
          <w:rFonts w:ascii="Times New Roman" w:cs="Times New Roman" w:eastAsia="Times New Roman" w:hAnsi="Times New Roman"/>
          <w:sz w:val="18"/>
          <w:szCs w:val="18"/>
          <w:color w:val="auto"/>
        </w:rPr>
        <w:t>. Any Special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accrue at a rate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will Special Interest payable at the Company’s election for a Reporting Event of Default, together with any Additional Interest (excluding any interest that accrues on any Deferred Additional Interest pursuant to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that accrues as a result of the Company’s failure to timely file any document or report that the Company is required to file with the SEC pursuant to Section 13 or 15(d) of the Exchange Act, as applicable (other than reports on Form 8-K), accrue on any day on a Note at a combined rate per annum that exceeds one half of one percent (0.50%). For the avoidance of doubt, any Special Interest that accrues on a Note will, subject to the proviso of the immediately preceding sentence, be in addition to any Additional Interest that accrues on such Note.</w:t>
      </w:r>
    </w:p>
    <w:p>
      <w:pPr>
        <w:spacing w:after="0" w:line="188" w:lineRule="exact"/>
        <w:rPr>
          <w:rFonts w:ascii="Times New Roman" w:cs="Times New Roman" w:eastAsia="Times New Roman" w:hAnsi="Times New Roman"/>
          <w:sz w:val="18"/>
          <w:szCs w:val="18"/>
          <w:color w:val="auto"/>
        </w:rPr>
      </w:pPr>
    </w:p>
    <w:p>
      <w:pPr>
        <w:ind w:left="4" w:right="120" w:firstLine="436"/>
        <w:spacing w:after="0" w:line="259" w:lineRule="auto"/>
        <w:tabs>
          <w:tab w:leader="none" w:pos="72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Election</w:t>
      </w:r>
      <w:r>
        <w:rPr>
          <w:rFonts w:ascii="Times New Roman" w:cs="Times New Roman" w:eastAsia="Times New Roman" w:hAnsi="Times New Roman"/>
          <w:sz w:val="18"/>
          <w:szCs w:val="18"/>
          <w:color w:val="auto"/>
        </w:rPr>
        <w:t>. To make the election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the Company must send to the Holders, the Trustee and the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81" w:lineRule="exact"/>
        <w:rPr>
          <w:rFonts w:ascii="Times New Roman" w:cs="Times New Roman" w:eastAsia="Times New Roman" w:hAnsi="Times New Roman"/>
          <w:sz w:val="18"/>
          <w:szCs w:val="18"/>
          <w:color w:val="auto"/>
        </w:rPr>
      </w:pPr>
    </w:p>
    <w:p>
      <w:pPr>
        <w:ind w:left="4" w:right="120" w:firstLine="436"/>
        <w:spacing w:after="0" w:line="281" w:lineRule="auto"/>
        <w:tabs>
          <w:tab w:leader="none" w:pos="739"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to Trustee and Paying Agent; Trustee’s Disclaimer</w:t>
      </w:r>
      <w:r>
        <w:rPr>
          <w:rFonts w:ascii="Times New Roman" w:cs="Times New Roman" w:eastAsia="Times New Roman" w:hAnsi="Times New Roman"/>
          <w:sz w:val="17"/>
          <w:szCs w:val="17"/>
          <w:color w:val="auto"/>
        </w:rPr>
        <w:t>. If Special Interest accrues on any Note, then, no later than five (5) Business Days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98"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ectPr>
          <w:pgSz w:w="11900" w:h="16838" w:orient="portrait"/>
          <w:cols w:equalWidth="0" w:num="1">
            <w:col w:w="10984"/>
          </w:cols>
          <w:pgMar w:left="436" w:top="266" w:right="479" w:bottom="1440" w:gutter="0" w:footer="0" w:header="0"/>
        </w:sectPr>
      </w:pPr>
    </w:p>
    <w:bookmarkStart w:id="81" w:name="page82"/>
    <w:bookmarkEnd w:id="81"/>
    <w:p>
      <w:pPr>
        <w:ind w:right="300" w:firstLine="436"/>
        <w:spacing w:after="0" w:line="286" w:lineRule="auto"/>
        <w:tabs>
          <w:tab w:leader="none" w:pos="7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Effect on Other Events of Default</w:t>
      </w:r>
      <w:r>
        <w:rPr>
          <w:rFonts w:ascii="Times New Roman" w:cs="Times New Roman" w:eastAsia="Times New Roman" w:hAnsi="Times New Roman"/>
          <w:sz w:val="18"/>
          <w:szCs w:val="18"/>
          <w:color w:val="auto"/>
        </w:rPr>
        <w:t>. No election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Reporting Event of Default will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any Holder with respect to any other Event of Default, including with respect to any other Reporting Event of Default.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7.04.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480" w:firstLine="436"/>
        <w:spacing w:after="0" w:line="284" w:lineRule="auto"/>
        <w:tabs>
          <w:tab w:leader="none" w:pos="7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May Pursue All Remedies</w:t>
      </w:r>
      <w:r>
        <w:rPr>
          <w:rFonts w:ascii="Times New Roman" w:cs="Times New Roman" w:eastAsia="Times New Roman" w:hAnsi="Times New Roman"/>
          <w:sz w:val="18"/>
          <w:szCs w:val="18"/>
          <w:color w:val="auto"/>
        </w:rPr>
        <w:t>. If an Event of Default occurs and is continuing, then the Trustee may pursue any available remedy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the payment of any amounts due with respect to the Notes or to enforce the performance of any provision of this Indenture or the Notes.</w:t>
      </w:r>
    </w:p>
    <w:p>
      <w:pPr>
        <w:spacing w:after="0" w:line="158" w:lineRule="exact"/>
        <w:rPr>
          <w:rFonts w:ascii="Times New Roman" w:cs="Times New Roman" w:eastAsia="Times New Roman" w:hAnsi="Times New Roman"/>
          <w:sz w:val="18"/>
          <w:szCs w:val="18"/>
          <w:color w:val="auto"/>
        </w:rPr>
      </w:pPr>
    </w:p>
    <w:p>
      <w:pPr>
        <w:jc w:val="both"/>
        <w:ind w:right="160" w:firstLine="436"/>
        <w:spacing w:after="0" w:line="290" w:lineRule="auto"/>
        <w:tabs>
          <w:tab w:leader="none" w:pos="72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Procedural Matters</w:t>
      </w:r>
      <w:r>
        <w:rPr>
          <w:rFonts w:ascii="Times New Roman" w:cs="Times New Roman" w:eastAsia="Times New Roman" w:hAnsi="Times New Roman"/>
          <w:sz w:val="17"/>
          <w:szCs w:val="17"/>
          <w:color w:val="auto"/>
        </w:rPr>
        <w:t>. The Trustee may maintain a proceeding even if it does not possess any of the Notes or does not produce any of them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7.05. W</w:t>
      </w:r>
      <w:r>
        <w:rPr>
          <w:rFonts w:ascii="Times New Roman" w:cs="Times New Roman" w:eastAsia="Times New Roman" w:hAnsi="Times New Roman"/>
          <w:sz w:val="14"/>
          <w:szCs w:val="14"/>
          <w:b w:val="1"/>
          <w:bCs w:val="1"/>
          <w:color w:val="auto"/>
        </w:rPr>
        <w:t>AIVER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Default that is (or, after notice, passage of time or both, would be)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b w:val="1"/>
          <w:bCs w:val="1"/>
          <w:color w:val="auto"/>
        </w:rPr>
        <w:t>clause (vi)</w:t>
      </w:r>
      <w:r>
        <w:rPr>
          <w:rFonts w:ascii="Times New Roman" w:cs="Times New Roman" w:eastAsia="Times New Roman" w:hAnsi="Times New Roman"/>
          <w:sz w:val="18"/>
          <w:szCs w:val="18"/>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 Each such waiver of a Default will have the effect set forth in </w:t>
      </w:r>
      <w:r>
        <w:rPr>
          <w:rFonts w:ascii="Times New Roman" w:cs="Times New Roman" w:eastAsia="Times New Roman" w:hAnsi="Times New Roman"/>
          <w:sz w:val="18"/>
          <w:szCs w:val="18"/>
          <w:b w:val="1"/>
          <w:bCs w:val="1"/>
          <w:color w:val="auto"/>
        </w:rPr>
        <w:t>Section 8.04(D)</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7.06. C</w:t>
      </w:r>
      <w:r>
        <w:rPr>
          <w:rFonts w:ascii="Times New Roman" w:cs="Times New Roman" w:eastAsia="Times New Roman" w:hAnsi="Times New Roman"/>
          <w:sz w:val="14"/>
          <w:szCs w:val="14"/>
          <w:b w:val="1"/>
          <w:bCs w:val="1"/>
          <w:color w:val="auto"/>
        </w:rPr>
        <w:t>URE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BILITY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URE OR</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AIVE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EFORE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CCURS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can be cured, (A) a Default consisting of a failure to send a notice in accordance with this Indenture will be cured upon the sending of such notice; (B) a Default in making any payment on (or delivering any other consideration in respect of) any Note will be cured upon the delivery, in accordance with this Indenture, of such payment (or other consideration) together, if applicable, with Default Interest thereon; and (C) a Default that is (or, after notice, passage of time or both, would be) a Reporting Event of Default will be cured upon the filing of the relevant report(s) giving rise to such Default (it being understood that any report that the Company files with the SEC through the EDGAR system (or any successor thereto) will be deemed to be filed with the Trustee at the time such report is so filed via the EDGAR system (or such successor)). In addition, for the avoidance of doubt, if a Default that is not an Event of Default is cured or waived before such Default would have constituted an Event of Default, then no Event of Default will result from such Default.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1000"/>
          </w:cols>
          <w:pgMar w:left="440" w:top="266"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7.07. C</w:t>
      </w:r>
      <w:r>
        <w:rPr>
          <w:rFonts w:ascii="Times New Roman" w:cs="Times New Roman" w:eastAsia="Times New Roman" w:hAnsi="Times New Roman"/>
          <w:sz w:val="14"/>
          <w:szCs w:val="14"/>
          <w:b w:val="1"/>
          <w:bCs w:val="1"/>
          <w:color w:val="auto"/>
        </w:rPr>
        <w:t>ONTROL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AJORITY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color w:val="auto"/>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7.08. L</w:t>
      </w:r>
      <w:r>
        <w:rPr>
          <w:rFonts w:ascii="Times New Roman" w:cs="Times New Roman" w:eastAsia="Times New Roman" w:hAnsi="Times New Roman"/>
          <w:sz w:val="14"/>
          <w:szCs w:val="14"/>
          <w:b w:val="1"/>
          <w:bCs w:val="1"/>
          <w:color w:val="auto"/>
        </w:rPr>
        <w:t>IMITATION 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 Holder may pursue any remedy with respect to this Indenture or the Notes (except to enforce (x) its rights to receive the principal of, or the Fundamental Change Repurchase Price or Redemption Price for, or any interest, if any, on, any Notes; or (y) the Company’s obligations to Convert any Notes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unless:</w:t>
      </w:r>
    </w:p>
    <w:p>
      <w:pPr>
        <w:spacing w:after="0" w:line="176" w:lineRule="exact"/>
        <w:rPr>
          <w:sz w:val="20"/>
          <w:szCs w:val="20"/>
          <w:color w:val="auto"/>
        </w:rPr>
      </w:pPr>
    </w:p>
    <w:p>
      <w:pPr>
        <w:ind w:left="740" w:hanging="304"/>
        <w:spacing w:after="0"/>
        <w:tabs>
          <w:tab w:leader="none" w:pos="7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delivered to the Trustee notice that an Event of Default is continuing;</w:t>
      </w:r>
    </w:p>
    <w:p>
      <w:pPr>
        <w:spacing w:after="0" w:line="225" w:lineRule="exact"/>
        <w:rPr>
          <w:rFonts w:ascii="Times New Roman" w:cs="Times New Roman" w:eastAsia="Times New Roman" w:hAnsi="Times New Roman"/>
          <w:sz w:val="18"/>
          <w:szCs w:val="18"/>
          <w:color w:val="auto"/>
        </w:rPr>
      </w:pPr>
    </w:p>
    <w:p>
      <w:pPr>
        <w:ind w:right="420" w:firstLine="436"/>
        <w:spacing w:after="0" w:line="282" w:lineRule="auto"/>
        <w:tabs>
          <w:tab w:leader="none" w:pos="72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twenty five percent (25%) in aggregate principal amount of the Notes then outstanding deliver a written request to the Trustee to pursue such remedy;</w:t>
      </w:r>
    </w:p>
    <w:p>
      <w:pPr>
        <w:spacing w:after="0" w:line="161" w:lineRule="exact"/>
        <w:rPr>
          <w:rFonts w:ascii="Times New Roman" w:cs="Times New Roman" w:eastAsia="Times New Roman" w:hAnsi="Times New Roman"/>
          <w:sz w:val="18"/>
          <w:szCs w:val="18"/>
          <w:color w:val="auto"/>
        </w:rPr>
      </w:pPr>
    </w:p>
    <w:p>
      <w:pPr>
        <w:ind w:right="460" w:firstLine="436"/>
        <w:spacing w:after="0" w:line="282" w:lineRule="auto"/>
        <w:tabs>
          <w:tab w:leader="none" w:pos="72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73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sixty (60) calendar days after its receipt of such request and such offer of security or indemnity; and</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or to obtain a preference or priority over another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duty to determine whether any Holder’s use of this Indenture complies with the preceding sentence.</w:t>
      </w:r>
    </w:p>
    <w:p>
      <w:pPr>
        <w:spacing w:after="0" w:line="31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7.09. A</w:t>
      </w:r>
      <w:r>
        <w:rPr>
          <w:rFonts w:ascii="Times New Roman" w:cs="Times New Roman" w:eastAsia="Times New Roman" w:hAnsi="Times New Roman"/>
          <w:sz w:val="14"/>
          <w:szCs w:val="14"/>
          <w:b w:val="1"/>
          <w:bCs w:val="1"/>
          <w:color w:val="auto"/>
        </w:rPr>
        <w:t>BSOLUTE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NSTITUTE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UIT FOR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NFORCEMENT OF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ONSIDERATION</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(but without limiting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such Note on or after the respective due dates therefor provided in this Indenture and the Notes, will not be impaired or affected without the consent of such Holder.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- 73 -</w:t>
      </w:r>
    </w:p>
    <w:p>
      <w:pPr>
        <w:sectPr>
          <w:pgSz w:w="11900" w:h="16838" w:orient="portrait"/>
          <w:cols w:equalWidth="0" w:num="1">
            <w:col w:w="10980"/>
          </w:cols>
          <w:pgMar w:left="440" w:top="266"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7.10. C</w:t>
      </w:r>
      <w:r>
        <w:rPr>
          <w:rFonts w:ascii="Times New Roman" w:cs="Times New Roman" w:eastAsia="Times New Roman" w:hAnsi="Times New Roman"/>
          <w:sz w:val="14"/>
          <w:szCs w:val="14"/>
          <w:b w:val="1"/>
          <w:bCs w:val="1"/>
          <w:color w:val="auto"/>
        </w:rPr>
        <w:t>OLLECTION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UIT BY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The Trustee will have the right, upon the occurrence and continuance of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to recover judgment in its own name and as trustee of an express trust against the Company for the total unpaid or undelivered principal of, or Fundamental Change Repurchase Price or Redemption Price for, or any interest, if any, on, or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7.11.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ROOFS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LAIM</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7.12. P</w:t>
      </w:r>
      <w:r>
        <w:rPr>
          <w:rFonts w:ascii="Times New Roman" w:cs="Times New Roman" w:eastAsia="Times New Roman" w:hAnsi="Times New Roman"/>
          <w:sz w:val="14"/>
          <w:szCs w:val="14"/>
          <w:b w:val="1"/>
          <w:bCs w:val="1"/>
          <w:color w:val="auto"/>
        </w:rPr>
        <w:t>RIORITIES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Trustee will pay or deliver in the following order any money or other property that it collects pursuant to this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180" w:firstLine="423"/>
        <w:spacing w:after="0" w:line="268"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and its agents and attorneys for amounts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including payment of all fees and compensation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expenses and liabilities incurred, and all advances made, by, the Trustee (in each of its capacities under this Indenture, including as Note Agent) and the costs and expenses of collection;</w:t>
      </w:r>
    </w:p>
    <w:p>
      <w:pPr>
        <w:spacing w:after="0" w:line="65" w:lineRule="exact"/>
        <w:rPr>
          <w:sz w:val="20"/>
          <w:szCs w:val="20"/>
          <w:color w:val="auto"/>
        </w:rPr>
      </w:pPr>
    </w:p>
    <w:p>
      <w:pPr>
        <w:ind w:left="440" w:right="2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for unpaid amounts or other property due on the Notes, including the principal of, or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ectPr>
          <w:pgSz w:w="11900" w:h="16838" w:orient="portrait"/>
          <w:cols w:equalWidth="0" w:num="1">
            <w:col w:w="11000"/>
          </w:cols>
          <w:pgMar w:left="440" w:top="266" w:right="459" w:bottom="1440" w:gutter="0" w:footer="0" w:header="0"/>
        </w:sectPr>
      </w:pPr>
    </w:p>
    <w:bookmarkStart w:id="84" w:name="page85"/>
    <w:bookmarkEnd w:id="84"/>
    <w:p>
      <w:pPr>
        <w:ind w:left="86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w:t>
      </w:r>
      <w:r>
        <w:rPr>
          <w:rFonts w:ascii="Times New Roman" w:cs="Times New Roman" w:eastAsia="Times New Roman" w:hAnsi="Times New Roman"/>
          <w:sz w:val="18"/>
          <w:szCs w:val="18"/>
          <w:color w:val="auto"/>
        </w:rPr>
        <w:t>: to the Company or such other Person as a court of competent jurisdiction directs.</w:t>
      </w:r>
    </w:p>
    <w:p>
      <w:pPr>
        <w:spacing w:after="0" w:line="223"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or delivery to the Holders pursuant to this </w:t>
      </w: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7.13. U</w:t>
      </w:r>
      <w:r>
        <w:rPr>
          <w:rFonts w:ascii="Times New Roman" w:cs="Times New Roman" w:eastAsia="Times New Roman" w:hAnsi="Times New Roman"/>
          <w:sz w:val="14"/>
          <w:szCs w:val="14"/>
          <w:b w:val="1"/>
          <w:bCs w:val="1"/>
          <w:color w:val="auto"/>
        </w:rPr>
        <w:t>NDERTAKING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7.13</w:t>
      </w:r>
      <w:r>
        <w:rPr>
          <w:rFonts w:ascii="Times New Roman" w:cs="Times New Roman" w:eastAsia="Times New Roman" w:hAnsi="Times New Roman"/>
          <w:sz w:val="18"/>
          <w:szCs w:val="18"/>
          <w:color w:val="auto"/>
        </w:rPr>
        <w:t xml:space="preserve"> does not apply to any suit by the Trustee, any suit by a Holder pursuant to </w:t>
      </w:r>
      <w:r>
        <w:rPr>
          <w:rFonts w:ascii="Times New Roman" w:cs="Times New Roman" w:eastAsia="Times New Roman" w:hAnsi="Times New Roman"/>
          <w:sz w:val="18"/>
          <w:szCs w:val="18"/>
          <w:b w:val="1"/>
          <w:bCs w:val="1"/>
          <w:color w:val="auto"/>
        </w:rPr>
        <w:t>Section 7.09</w:t>
      </w:r>
      <w:r>
        <w:rPr>
          <w:rFonts w:ascii="Times New Roman" w:cs="Times New Roman" w:eastAsia="Times New Roman" w:hAnsi="Times New Roman"/>
          <w:sz w:val="18"/>
          <w:szCs w:val="18"/>
          <w:color w:val="auto"/>
        </w:rPr>
        <w:t xml:space="preserve"> or any suit by one or more Holders of more than ten percent (10%) in aggregate principal amount of the Notes then outstanding.</w:t>
      </w:r>
    </w:p>
    <w:p>
      <w:pPr>
        <w:spacing w:after="0" w:line="39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Article 8. AMENDMENTS, SUPPLEMENTS AND WAIVERS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8.01. W</w:t>
      </w:r>
      <w:r>
        <w:rPr>
          <w:rFonts w:ascii="Times New Roman" w:cs="Times New Roman" w:eastAsia="Times New Roman" w:hAnsi="Times New Roman"/>
          <w:sz w:val="14"/>
          <w:szCs w:val="14"/>
          <w:b w:val="1"/>
          <w:bCs w:val="1"/>
          <w:color w:val="auto"/>
        </w:rPr>
        <w:t>ITHOUT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the Company and the Trustee may amend or supplement this Indenture or the Notes without the consent of any Holder to:</w:t>
      </w:r>
    </w:p>
    <w:p>
      <w:pPr>
        <w:spacing w:after="0" w:line="159" w:lineRule="exact"/>
        <w:rPr>
          <w:sz w:val="20"/>
          <w:szCs w:val="20"/>
          <w:color w:val="auto"/>
        </w:rPr>
      </w:pPr>
    </w:p>
    <w:p>
      <w:pPr>
        <w:ind w:left="740" w:hanging="304"/>
        <w:spacing w:after="0"/>
        <w:tabs>
          <w:tab w:leader="none" w:pos="7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omission, defect or inconsistency in this Indenture or the Notes;</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Company’s obligations under this Indenture or the Notes;</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w:t>
      </w:r>
    </w:p>
    <w:p>
      <w:pPr>
        <w:spacing w:after="0" w:line="225" w:lineRule="exact"/>
        <w:rPr>
          <w:rFonts w:ascii="Times New Roman" w:cs="Times New Roman" w:eastAsia="Times New Roman" w:hAnsi="Times New Roman"/>
          <w:sz w:val="18"/>
          <w:szCs w:val="18"/>
          <w:color w:val="auto"/>
        </w:rPr>
      </w:pPr>
    </w:p>
    <w:p>
      <w:pPr>
        <w:ind w:right="700" w:firstLine="436"/>
        <w:spacing w:after="0" w:line="282" w:lineRule="auto"/>
        <w:tabs>
          <w:tab w:leader="none" w:pos="73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Company’s covenants or Events of Default for the benefit of the Holders or surrender any right or power conferred on the Company;</w:t>
      </w:r>
    </w:p>
    <w:p>
      <w:pPr>
        <w:spacing w:after="0" w:line="157"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assumption of the Company’s obligations under this Indenture and the Notes pursuant to, and in compliance with,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supplemental indentures pursuant to, and in accordance with,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in connection with a Common Stock Change Event;</w:t>
      </w:r>
    </w:p>
    <w:p>
      <w:pPr>
        <w:spacing w:after="0" w:line="16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ectPr>
          <w:pgSz w:w="11900" w:h="16838" w:orient="portrait"/>
          <w:cols w:equalWidth="0" w:num="1">
            <w:col w:w="10940"/>
          </w:cols>
          <w:pgMar w:left="440" w:top="268" w:right="519" w:bottom="1440" w:gutter="0" w:footer="0" w:header="0"/>
        </w:sectPr>
      </w:pPr>
    </w:p>
    <w:bookmarkStart w:id="85" w:name="page86"/>
    <w:bookmarkEnd w:id="85"/>
    <w:p>
      <w:pPr>
        <w:ind w:right="240" w:firstLine="436"/>
        <w:spacing w:after="0" w:line="284" w:lineRule="auto"/>
        <w:tabs>
          <w:tab w:leader="none" w:pos="73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irrevocably elect or eliminate any Settlement Method or Specified Dollar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election or elimination will affect any Settlement Method theretofore elected (or deemed to be elected) with respect to any Note pursuant to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or provide for the acceptance of the appointment, under this Indenture, of a successor Trustee;</w:t>
      </w:r>
    </w:p>
    <w:p>
      <w:pPr>
        <w:spacing w:after="0" w:line="225" w:lineRule="exact"/>
        <w:rPr>
          <w:rFonts w:ascii="Times New Roman" w:cs="Times New Roman" w:eastAsia="Times New Roman" w:hAnsi="Times New Roman"/>
          <w:sz w:val="18"/>
          <w:szCs w:val="18"/>
          <w:color w:val="auto"/>
        </w:rPr>
      </w:pPr>
    </w:p>
    <w:p>
      <w:pPr>
        <w:ind w:right="780" w:firstLine="436"/>
        <w:spacing w:after="0" w:line="282" w:lineRule="auto"/>
        <w:tabs>
          <w:tab w:leader="none" w:pos="6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this Indenture and the Notes to the “Description of Notes” section of the Company’s preliminary offering memorandum, dated June 15, 2026, as supplemented by the related pricing term sheet, dated June 16, 2026;</w:t>
      </w:r>
    </w:p>
    <w:p>
      <w:pPr>
        <w:spacing w:after="0" w:line="15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or confirm the issuance of additional Notes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40" w:firstLine="436"/>
        <w:spacing w:after="0" w:line="282" w:lineRule="auto"/>
        <w:tabs>
          <w:tab w:leader="none" w:pos="73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any qualification of this Indenture, or any related supplemental indenture, under the Trust Indenture Act, as then in effect; or</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7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this Indenture or the Notes that does not, individually or in the aggregate with all other such changes, adversely affect the rights of the Holders, as such, in any material respect, as determined by the Company in good faith.</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Times New Roman" w:cs="Times New Roman" w:eastAsia="Times New Roman" w:hAnsi="Times New Roman"/>
          <w:sz w:val="18"/>
          <w:szCs w:val="18"/>
          <w:b w:val="1"/>
          <w:bCs w:val="1"/>
          <w:color w:val="auto"/>
        </w:rPr>
        <w:t>Section 8.01(I)</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8.02. W</w:t>
      </w:r>
      <w:r>
        <w:rPr>
          <w:rFonts w:ascii="Times New Roman" w:cs="Times New Roman" w:eastAsia="Times New Roman" w:hAnsi="Times New Roman"/>
          <w:sz w:val="14"/>
          <w:szCs w:val="14"/>
          <w:b w:val="1"/>
          <w:bCs w:val="1"/>
          <w:color w:val="auto"/>
        </w:rPr>
        <w:t>ITH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100" w:firstLine="436"/>
        <w:spacing w:after="0" w:line="259" w:lineRule="auto"/>
        <w:tabs>
          <w:tab w:leader="none" w:pos="73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8.01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immediately following sentence, the Company and the Trustee may,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without the consent of each affected Holder, no amendment or supplement to this Indenture or the Notes, or waiver of any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 or the Notes, may:</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Note;</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2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Fundamental Change Repurchase Price for any Note or change the times at which, or the circumstances under which, the Notes may or will be redeemed or repurchased by the Company;</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for the payment, of Special Interest or Additional Interest on any Note;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w:t>
      </w:r>
    </w:p>
    <w:p>
      <w:pPr>
        <w:spacing w:after="0" w:line="11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 the rights of any Holder set forth in </w:t>
      </w:r>
      <w:r>
        <w:rPr>
          <w:rFonts w:ascii="Times New Roman" w:cs="Times New Roman" w:eastAsia="Times New Roman" w:hAnsi="Times New Roman"/>
          <w:sz w:val="18"/>
          <w:szCs w:val="18"/>
          <w:b w:val="1"/>
          <w:bCs w:val="1"/>
          <w:color w:val="auto"/>
        </w:rPr>
        <w:t>Section 7.09</w:t>
      </w:r>
      <w:r>
        <w:rPr>
          <w:rFonts w:ascii="Times New Roman" w:cs="Times New Roman" w:eastAsia="Times New Roman" w:hAnsi="Times New Roman"/>
          <w:sz w:val="18"/>
          <w:szCs w:val="18"/>
          <w:color w:val="auto"/>
        </w:rPr>
        <w:t xml:space="preserve"> (as such section is in effect on the Issue Date);</w:t>
      </w:r>
    </w:p>
    <w:p>
      <w:pPr>
        <w:spacing w:after="0" w:line="16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ectPr>
          <w:pgSz w:w="11900" w:h="16838" w:orient="portrait"/>
          <w:cols w:equalWidth="0" w:num="1">
            <w:col w:w="10920"/>
          </w:cols>
          <w:pgMar w:left="440" w:top="268" w:right="539" w:bottom="1440" w:gutter="0" w:footer="0" w:header="0"/>
        </w:sectPr>
      </w:pPr>
    </w:p>
    <w:bookmarkStart w:id="86" w:name="page87"/>
    <w:bookmarkEnd w:id="86"/>
    <w:p>
      <w:pPr>
        <w:ind w:left="1164" w:hanging="301"/>
        <w:spacing w:after="0"/>
        <w:tabs>
          <w:tab w:leader="none" w:pos="11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the ranking of the Notes;</w:t>
      </w:r>
    </w:p>
    <w:p>
      <w:pPr>
        <w:spacing w:after="0" w:line="117" w:lineRule="exact"/>
        <w:rPr>
          <w:rFonts w:ascii="Times New Roman" w:cs="Times New Roman" w:eastAsia="Times New Roman" w:hAnsi="Times New Roman"/>
          <w:sz w:val="18"/>
          <w:szCs w:val="18"/>
          <w:color w:val="auto"/>
        </w:rPr>
      </w:pPr>
    </w:p>
    <w:p>
      <w:pPr>
        <w:ind w:left="1224" w:hanging="361"/>
        <w:spacing w:after="0"/>
        <w:tabs>
          <w:tab w:leader="none" w:pos="12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this Indenture or the Note;</w:t>
      </w:r>
    </w:p>
    <w:p>
      <w:pPr>
        <w:spacing w:after="0" w:line="117"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any amendment, supplement, waiver or other modification; or</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82" w:lineRule="auto"/>
        <w:tabs>
          <w:tab w:leader="none" w:pos="117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direct or indirect change to any amendment, supplement, waiver or modification provision of this Indenture or the Notes that requires the consent of each affected Holder.</w:t>
      </w:r>
    </w:p>
    <w:p>
      <w:pPr>
        <w:spacing w:after="0" w:line="157" w:lineRule="exact"/>
        <w:rPr>
          <w:rFonts w:ascii="Times New Roman" w:cs="Times New Roman" w:eastAsia="Times New Roman" w:hAnsi="Times New Roman"/>
          <w:sz w:val="18"/>
          <w:szCs w:val="18"/>
          <w:color w:val="auto"/>
        </w:rPr>
      </w:pPr>
    </w:p>
    <w:p>
      <w:pPr>
        <w:ind w:left="4" w:right="60" w:firstLine="436"/>
        <w:spacing w:after="0" w:line="286" w:lineRule="auto"/>
        <w:tabs>
          <w:tab w:leader="none" w:pos="72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Holders Need Not Approve the Particular Form of any Amendment</w:t>
      </w:r>
      <w:r>
        <w:rPr>
          <w:rFonts w:ascii="Times New Roman" w:cs="Times New Roman" w:eastAsia="Times New Roman" w:hAnsi="Times New Roman"/>
          <w:sz w:val="18"/>
          <w:szCs w:val="18"/>
          <w:color w:val="auto"/>
        </w:rPr>
        <w:t>. A consent of any Holder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approve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substance, and not necessarily the particular form, of the proposed amendment, supplement or waiver.</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8.03. 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UPPLEMENTS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AIVERS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00" w:firstLine="440"/>
        <w:spacing w:after="0" w:line="278" w:lineRule="auto"/>
        <w:rPr>
          <w:sz w:val="20"/>
          <w:szCs w:val="20"/>
          <w:color w:val="auto"/>
        </w:rPr>
      </w:pPr>
      <w:r>
        <w:rPr>
          <w:rFonts w:ascii="Times New Roman" w:cs="Times New Roman" w:eastAsia="Times New Roman" w:hAnsi="Times New Roman"/>
          <w:sz w:val="17"/>
          <w:szCs w:val="17"/>
          <w:color w:val="auto"/>
        </w:rPr>
        <w:t xml:space="preserve">As soon as reasonably practicable after any amendment, supplement or waiver pursuant to </w:t>
      </w:r>
      <w:r>
        <w:rPr>
          <w:rFonts w:ascii="Times New Roman" w:cs="Times New Roman" w:eastAsia="Times New Roman" w:hAnsi="Times New Roman"/>
          <w:sz w:val="17"/>
          <w:szCs w:val="17"/>
          <w:b w:val="1"/>
          <w:bCs w:val="1"/>
          <w:color w:val="auto"/>
        </w:rPr>
        <w:t>Section 8.01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8.02</w:t>
      </w:r>
      <w:r>
        <w:rPr>
          <w:rFonts w:ascii="Times New Roman" w:cs="Times New Roman" w:eastAsia="Times New Roman" w:hAnsi="Times New Roman"/>
          <w:sz w:val="17"/>
          <w:szCs w:val="17"/>
          <w:color w:val="auto"/>
        </w:rPr>
        <w:t xml:space="preserve"> becomes effective, the Company will send to the Holders and the Trustee notice that (A) describes the substance of such amendment, supplement or waiver in reasonable detail and</w:t>
      </w:r>
    </w:p>
    <w:p>
      <w:pPr>
        <w:spacing w:after="0" w:line="1" w:lineRule="exact"/>
        <w:rPr>
          <w:sz w:val="20"/>
          <w:szCs w:val="20"/>
          <w:color w:val="auto"/>
        </w:rPr>
      </w:pPr>
    </w:p>
    <w:p>
      <w:pPr>
        <w:jc w:val="both"/>
        <w:ind w:left="4" w:right="20" w:hanging="4"/>
        <w:spacing w:after="0" w:line="277" w:lineRule="auto"/>
        <w:tabs>
          <w:tab w:leader="none" w:pos="28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states the effective date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8.04. R</w:t>
      </w:r>
      <w:r>
        <w:rPr>
          <w:rFonts w:ascii="Times New Roman" w:cs="Times New Roman" w:eastAsia="Times New Roman" w:hAnsi="Times New Roman"/>
          <w:sz w:val="14"/>
          <w:szCs w:val="14"/>
          <w:b w:val="1"/>
          <w:bCs w:val="1"/>
          <w:color w:val="auto"/>
        </w:rPr>
        <w:t>EVOCATION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FFECT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OLICITATION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PECIAL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20" w:firstLine="436"/>
        <w:spacing w:after="0" w:line="261" w:lineRule="auto"/>
        <w:tabs>
          <w:tab w:leader="none" w:pos="7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The consent of a Holder of a Note to an amendment, supplement or waiver will bind (and constitute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8"/>
          <w:szCs w:val="18"/>
          <w:b w:val="1"/>
          <w:bCs w:val="1"/>
          <w:color w:val="auto"/>
        </w:rPr>
        <w:t>Section 8.04(B)</w:t>
      </w:r>
      <w:r>
        <w:rPr>
          <w:rFonts w:ascii="Times New Roman" w:cs="Times New Roman" w:eastAsia="Times New Roman" w:hAnsi="Times New Roman"/>
          <w:sz w:val="18"/>
          <w:szCs w:val="18"/>
          <w:color w:val="auto"/>
        </w:rPr>
        <w:t>) any such consent with respect to such Note by delivering notice of revocation to the Trustee before the time such amendment, supplement or waiver becomes effective.</w:t>
      </w:r>
    </w:p>
    <w:p>
      <w:pPr>
        <w:spacing w:after="0" w:line="179" w:lineRule="exact"/>
        <w:rPr>
          <w:rFonts w:ascii="Times New Roman" w:cs="Times New Roman" w:eastAsia="Times New Roman" w:hAnsi="Times New Roman"/>
          <w:sz w:val="18"/>
          <w:szCs w:val="18"/>
          <w:color w:val="auto"/>
        </w:rPr>
      </w:pPr>
    </w:p>
    <w:p>
      <w:pPr>
        <w:ind w:left="4" w:firstLine="436"/>
        <w:spacing w:after="0" w:line="257" w:lineRule="auto"/>
        <w:tabs>
          <w:tab w:leader="none" w:pos="7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Record Dates</w:t>
      </w:r>
      <w:r>
        <w:rPr>
          <w:rFonts w:ascii="Times New Roman" w:cs="Times New Roman" w:eastAsia="Times New Roman" w:hAnsi="Times New Roman"/>
          <w:sz w:val="18"/>
          <w:szCs w:val="18"/>
          <w:color w:val="auto"/>
        </w:rPr>
        <w:t>. The Company may, but is not required to, fix a record date for the purpose of determining the Holders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or take any other action in connection with any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If a record date is fixed, then, notwithstanding anything to the contrary in </w:t>
      </w:r>
      <w:r>
        <w:rPr>
          <w:rFonts w:ascii="Times New Roman" w:cs="Times New Roman" w:eastAsia="Times New Roman" w:hAnsi="Times New Roman"/>
          <w:sz w:val="18"/>
          <w:szCs w:val="18"/>
          <w:b w:val="1"/>
          <w:bCs w:val="1"/>
          <w:color w:val="auto"/>
        </w:rPr>
        <w:t>Section 8.04(A)</w:t>
      </w:r>
      <w:r>
        <w:rPr>
          <w:rFonts w:ascii="Times New Roman" w:cs="Times New Roman" w:eastAsia="Times New Roman" w:hAnsi="Times New Roman"/>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consent will be valid or effective for more than one hundred and twenty (120) calendar days after such record date.</w:t>
      </w:r>
    </w:p>
    <w:p>
      <w:pPr>
        <w:spacing w:after="0" w:line="11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ectPr>
          <w:pgSz w:w="11900" w:h="16838" w:orient="portrait"/>
          <w:cols w:equalWidth="0" w:num="1">
            <w:col w:w="10964"/>
          </w:cols>
          <w:pgMar w:left="436" w:top="270" w:right="499" w:bottom="1440" w:gutter="0" w:footer="0" w:header="0"/>
        </w:sectPr>
      </w:pPr>
    </w:p>
    <w:bookmarkStart w:id="87" w:name="page88"/>
    <w:bookmarkEnd w:id="87"/>
    <w:p>
      <w:pPr>
        <w:ind w:left="4" w:firstLine="436"/>
        <w:spacing w:after="0" w:line="284" w:lineRule="auto"/>
        <w:tabs>
          <w:tab w:leader="none" w:pos="72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Solicitation of Consents</w:t>
      </w:r>
      <w:r>
        <w:rPr>
          <w:rFonts w:ascii="Times New Roman" w:cs="Times New Roman" w:eastAsia="Times New Roman" w:hAnsi="Times New Roman"/>
          <w:sz w:val="18"/>
          <w:szCs w:val="18"/>
          <w:color w:val="auto"/>
        </w:rPr>
        <w:t>. For the avoidance of doubt, each reference in this Indenture or the Notes to the consent of a Holder will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any such consent obtained in connection with a repurchase of, or tender or exchange offer for, any Notes.</w:t>
      </w:r>
    </w:p>
    <w:p>
      <w:pPr>
        <w:spacing w:after="0" w:line="158"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7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and Binding Effect</w:t>
      </w:r>
      <w:r>
        <w:rPr>
          <w:rFonts w:ascii="Times New Roman" w:cs="Times New Roman" w:eastAsia="Times New Roman" w:hAnsi="Times New Roman"/>
          <w:sz w:val="18"/>
          <w:szCs w:val="18"/>
          <w:color w:val="auto"/>
        </w:rPr>
        <w:t>. Each amendment or supplement to this Indenture or the Notes, or waiver of any Default, Event of Default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any provision of this Indenture or the Notes, will become effective in accordance with its terms and, when it becomes effective with respect to any Note (or any portion thereof), will thereafter bind every Holder of such Note (or such portion).</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8.05. N</w:t>
      </w:r>
      <w:r>
        <w:rPr>
          <w:rFonts w:ascii="Times New Roman" w:cs="Times New Roman" w:eastAsia="Times New Roman" w:hAnsi="Times New Roman"/>
          <w:sz w:val="14"/>
          <w:szCs w:val="14"/>
          <w:b w:val="1"/>
          <w:bCs w:val="1"/>
          <w:color w:val="auto"/>
        </w:rPr>
        <w:t>OTATIONS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will not impair or affect the validity of such amendment, supplement or waiver.</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8.06. T</w:t>
      </w:r>
      <w:r>
        <w:rPr>
          <w:rFonts w:ascii="Times New Roman" w:cs="Times New Roman" w:eastAsia="Times New Roman" w:hAnsi="Times New Roman"/>
          <w:sz w:val="14"/>
          <w:szCs w:val="14"/>
          <w:b w:val="1"/>
          <w:bCs w:val="1"/>
          <w:color w:val="auto"/>
        </w:rPr>
        <w:t>RUSTEE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UPPLEMENTAL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NDENTURES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Trustee will execute and deliver any amendment or supplemental indenture authorized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18"/>
          <w:szCs w:val="18"/>
          <w:b w:val="1"/>
          <w:bCs w:val="1"/>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10.02</w:t>
      </w:r>
      <w:r>
        <w:rPr>
          <w:rFonts w:ascii="Times New Roman" w:cs="Times New Roman" w:eastAsia="Times New Roman" w:hAnsi="Times New Roman"/>
          <w:sz w:val="18"/>
          <w:szCs w:val="18"/>
          <w:color w:val="auto"/>
        </w:rPr>
        <w:t>) will be fully protected in relying on, an Officer’s Certificate and an Opinion of Counsel stating that (A) the execution and delivery of such amendment or supplemental indenture is authorized or permitted by this Indenture; and</w:t>
      </w:r>
    </w:p>
    <w:p>
      <w:pPr>
        <w:spacing w:after="0" w:line="3" w:lineRule="exact"/>
        <w:rPr>
          <w:sz w:val="20"/>
          <w:szCs w:val="20"/>
          <w:color w:val="auto"/>
        </w:rPr>
      </w:pPr>
    </w:p>
    <w:p>
      <w:pPr>
        <w:ind w:left="4" w:right="640" w:hanging="4"/>
        <w:spacing w:after="0" w:line="260" w:lineRule="auto"/>
        <w:tabs>
          <w:tab w:leader="none" w:pos="28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Opinion of Counsel, such amendment or supplemental indenture is valid, binding and enforceable against the Company in accordance with its terms.</w:t>
      </w:r>
    </w:p>
    <w:p>
      <w:pPr>
        <w:spacing w:after="0" w:line="393" w:lineRule="exact"/>
        <w:rPr>
          <w:sz w:val="20"/>
          <w:szCs w:val="20"/>
          <w:color w:val="auto"/>
        </w:rPr>
      </w:pPr>
    </w:p>
    <w:p>
      <w:pPr>
        <w:ind w:left="3684"/>
        <w:spacing w:after="0"/>
        <w:rPr>
          <w:sz w:val="20"/>
          <w:szCs w:val="20"/>
          <w:color w:val="auto"/>
        </w:rPr>
      </w:pPr>
      <w:r>
        <w:rPr>
          <w:rFonts w:ascii="Times New Roman" w:cs="Times New Roman" w:eastAsia="Times New Roman" w:hAnsi="Times New Roman"/>
          <w:sz w:val="18"/>
          <w:szCs w:val="18"/>
          <w:b w:val="1"/>
          <w:bCs w:val="1"/>
          <w:color w:val="auto"/>
        </w:rPr>
        <w:t>Article 9. SATISFACTION AND DISCHARGE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9.01.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ind w:left="744" w:hanging="304"/>
        <w:spacing w:after="0"/>
        <w:tabs>
          <w:tab w:leader="none" w:pos="74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have (i) been delivered to the Trustee for cancellation; or</w:t>
      </w:r>
    </w:p>
    <w:p>
      <w:pPr>
        <w:spacing w:after="0" w:line="31" w:lineRule="exact"/>
        <w:rPr>
          <w:rFonts w:ascii="Times New Roman" w:cs="Times New Roman" w:eastAsia="Times New Roman" w:hAnsi="Times New Roman"/>
          <w:sz w:val="18"/>
          <w:szCs w:val="18"/>
          <w:color w:val="auto"/>
        </w:rPr>
      </w:pPr>
    </w:p>
    <w:p>
      <w:pPr>
        <w:ind w:left="4" w:right="700" w:hanging="4"/>
        <w:spacing w:after="0" w:line="260" w:lineRule="auto"/>
        <w:tabs>
          <w:tab w:leader="none" w:pos="26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due and payable (whether on a Redemption Date, a Fundamental Change Repurchase Date, the Maturity Date, upon Conversion or otherwise) for an amount of cash or Conversion Consideration, as applicable, that has been fixed;</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0984"/>
          </w:cols>
          <w:pgMar w:left="436" w:top="268" w:right="479" w:bottom="1440" w:gutter="0" w:footer="0" w:header="0"/>
        </w:sectPr>
      </w:pPr>
    </w:p>
    <w:bookmarkStart w:id="88" w:name="page89"/>
    <w:bookmarkEnd w:id="88"/>
    <w:p>
      <w:pPr>
        <w:ind w:right="80" w:firstLine="436"/>
        <w:spacing w:after="0" w:line="261" w:lineRule="auto"/>
        <w:tabs>
          <w:tab w:leader="none" w:pos="72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all other amounts payable by it under this Indenture; and</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7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the conditions precedent to the discharge of this Indenture have been satisfied;</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such discharge and, until no Notes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Trustee, the Paying Agent and the Conversion Agent with respect to money or other property deposited with them will survive such discharge.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Company’s request, the Trustee will acknowledge the satisfaction and discharge of this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9.02. R</w:t>
      </w:r>
      <w:r>
        <w:rPr>
          <w:rFonts w:ascii="Times New Roman" w:cs="Times New Roman" w:eastAsia="Times New Roman" w:hAnsi="Times New Roman"/>
          <w:sz w:val="14"/>
          <w:szCs w:val="14"/>
          <w:b w:val="1"/>
          <w:bCs w:val="1"/>
          <w:color w:val="auto"/>
        </w:rPr>
        <w:t>EPAYMENT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9.03. R</w:t>
      </w:r>
      <w:r>
        <w:rPr>
          <w:rFonts w:ascii="Times New Roman" w:cs="Times New Roman" w:eastAsia="Times New Roman" w:hAnsi="Times New Roman"/>
          <w:sz w:val="14"/>
          <w:szCs w:val="14"/>
          <w:b w:val="1"/>
          <w:bCs w:val="1"/>
          <w:color w:val="auto"/>
        </w:rPr>
        <w:t>EINSTATEMENT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will be rescinded;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ectPr>
          <w:pgSz w:w="11900" w:h="16838" w:orient="portrait"/>
          <w:cols w:equalWidth="0" w:num="1">
            <w:col w:w="11000"/>
          </w:cols>
          <w:pgMar w:left="440" w:top="270" w:right="4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10.01. D</w:t>
      </w:r>
      <w:r>
        <w:rPr>
          <w:rFonts w:ascii="Times New Roman" w:cs="Times New Roman" w:eastAsia="Times New Roman" w:hAnsi="Times New Roman"/>
          <w:sz w:val="14"/>
          <w:szCs w:val="14"/>
          <w:b w:val="1"/>
          <w:bCs w:val="1"/>
          <w:color w:val="auto"/>
        </w:rPr>
        <w:t>UTIES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36"/>
        <w:spacing w:after="0" w:line="261" w:lineRule="auto"/>
        <w:tabs>
          <w:tab w:leader="none" w:pos="7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and a Responsible Officer of the Trustee has written notice or actual knowledge of the same, then, without limiting the generality of </w:t>
      </w:r>
      <w:r>
        <w:rPr>
          <w:rFonts w:ascii="Times New Roman" w:cs="Times New Roman" w:eastAsia="Times New Roman" w:hAnsi="Times New Roman"/>
          <w:sz w:val="18"/>
          <w:szCs w:val="18"/>
          <w:b w:val="1"/>
          <w:bCs w:val="1"/>
          <w:color w:val="auto"/>
        </w:rPr>
        <w:t>Section 10.02(F)</w:t>
      </w:r>
      <w:r>
        <w:rPr>
          <w:rFonts w:ascii="Times New Roman" w:cs="Times New Roman" w:eastAsia="Times New Roman" w:hAnsi="Times New Roman"/>
          <w:sz w:val="18"/>
          <w:szCs w:val="18"/>
          <w:color w:val="auto"/>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9"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2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negligence or willful misconduct, except that:</w:t>
      </w:r>
    </w:p>
    <w:p>
      <w:pPr>
        <w:spacing w:after="0" w:line="11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will not limit the effect of </w:t>
      </w:r>
      <w:r>
        <w:rPr>
          <w:rFonts w:ascii="Times New Roman" w:cs="Times New Roman" w:eastAsia="Times New Roman" w:hAnsi="Times New Roman"/>
          <w:sz w:val="18"/>
          <w:szCs w:val="18"/>
          <w:b w:val="1"/>
          <w:bCs w:val="1"/>
          <w:color w:val="auto"/>
        </w:rPr>
        <w:t>Section 10.01(B)</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18"/>
          <w:szCs w:val="18"/>
          <w:b w:val="1"/>
          <w:bCs w:val="1"/>
          <w:color w:val="auto"/>
        </w:rPr>
        <w:t>Section 7.07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7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in its individual capacity for the obligations evidenced by the Notes.</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0980"/>
          </w:cols>
          <w:pgMar w:left="440" w:top="266" w:right="479" w:bottom="1440" w:gutter="0" w:footer="0" w:header="0"/>
        </w:sectPr>
      </w:pPr>
    </w:p>
    <w:bookmarkStart w:id="90" w:name="page91"/>
    <w:bookmarkEnd w:id="90"/>
    <w:p>
      <w:pPr>
        <w:ind w:right="760" w:firstLine="436"/>
        <w:spacing w:after="0" w:line="282" w:lineRule="auto"/>
        <w:tabs>
          <w:tab w:leader="none" w:pos="73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provision of this Indenture that in any way relates to the Trustee (including any provision that affects the liability of, or affords protection to, the Trustee) is subject to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regardless of whether such provision so expressly provides.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10.02. R</w:t>
      </w:r>
      <w:r>
        <w:rPr>
          <w:rFonts w:ascii="Times New Roman" w:cs="Times New Roman" w:eastAsia="Times New Roman" w:hAnsi="Times New Roman"/>
          <w:sz w:val="14"/>
          <w:szCs w:val="14"/>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80" w:firstLine="436"/>
        <w:spacing w:after="0" w:line="282" w:lineRule="auto"/>
        <w:tabs>
          <w:tab w:leader="none" w:pos="7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6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7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7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such agent appointed with due care.</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7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and that it believes to be authorized or within the rights or powers vested in it by this Indenture.</w:t>
      </w:r>
    </w:p>
    <w:p>
      <w:pPr>
        <w:spacing w:after="0" w:line="161" w:lineRule="exact"/>
        <w:rPr>
          <w:rFonts w:ascii="Times New Roman" w:cs="Times New Roman" w:eastAsia="Times New Roman" w:hAnsi="Times New Roman"/>
          <w:sz w:val="18"/>
          <w:szCs w:val="18"/>
          <w:color w:val="auto"/>
        </w:rPr>
      </w:pPr>
    </w:p>
    <w:p>
      <w:pPr>
        <w:ind w:right="460" w:firstLine="436"/>
        <w:spacing w:after="0" w:line="282" w:lineRule="auto"/>
        <w:tabs>
          <w:tab w:leader="none" w:pos="7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70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7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set forth in this Indenture will not be construed as duties imposed on the Trustee.</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or performance of this Indenture or otherwise.</w:t>
      </w:r>
    </w:p>
    <w:p>
      <w:pPr>
        <w:spacing w:after="0" w:line="225" w:lineRule="exact"/>
        <w:rPr>
          <w:rFonts w:ascii="Times New Roman" w:cs="Times New Roman" w:eastAsia="Times New Roman" w:hAnsi="Times New Roman"/>
          <w:sz w:val="18"/>
          <w:szCs w:val="18"/>
          <w:color w:val="auto"/>
        </w:rPr>
      </w:pPr>
    </w:p>
    <w:p>
      <w:pPr>
        <w:ind w:right="440" w:firstLine="436"/>
        <w:spacing w:after="0" w:line="282" w:lineRule="auto"/>
        <w:tabs>
          <w:tab w:leader="none" w:pos="6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Responsible Officer of the Trustee has received notice from the Company that Special Interest or Additional Interest is owing or accruing, on the Notes, the Trustee may assume that no Special Interest or Additional Interest, as applicable, is payable or accruing.</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000"/>
          </w:cols>
          <w:pgMar w:left="440" w:top="270" w:right="459" w:bottom="1440" w:gutter="0" w:footer="0" w:header="0"/>
        </w:sectPr>
      </w:pPr>
    </w:p>
    <w:bookmarkStart w:id="91" w:name="page92"/>
    <w:bookmarkEnd w:id="91"/>
    <w:p>
      <w:pPr>
        <w:ind w:left="724" w:hanging="284"/>
        <w:spacing w:after="0"/>
        <w:tabs>
          <w:tab w:leader="none" w:pos="7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will not be charged with knowledge of any document or agreement other than this Indenture and the Notes.</w:t>
      </w:r>
    </w:p>
    <w:p>
      <w:pPr>
        <w:spacing w:after="0" w:line="225"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76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10.03. I</w:t>
      </w:r>
      <w:r>
        <w:rPr>
          <w:rFonts w:ascii="Times New Roman" w:cs="Times New Roman" w:eastAsia="Times New Roman" w:hAnsi="Times New Roman"/>
          <w:sz w:val="14"/>
          <w:szCs w:val="14"/>
          <w:b w:val="1"/>
          <w:bCs w:val="1"/>
          <w:color w:val="auto"/>
        </w:rPr>
        <w:t>NDIVIDUAL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8"/>
          <w:szCs w:val="18"/>
          <w:b w:val="1"/>
          <w:bCs w:val="1"/>
          <w:color w:val="auto"/>
        </w:rPr>
        <w:t>Section 10.03</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10.04.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ISCLAIMER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Trustee will not be (A) responsible for, and makes no representation as to, the validity or adequacy of this Indenture or the Notes;</w:t>
      </w:r>
    </w:p>
    <w:p>
      <w:pPr>
        <w:spacing w:after="0" w:line="27" w:lineRule="exact"/>
        <w:rPr>
          <w:sz w:val="20"/>
          <w:szCs w:val="20"/>
          <w:color w:val="auto"/>
        </w:rPr>
      </w:pPr>
    </w:p>
    <w:p>
      <w:pPr>
        <w:ind w:left="4" w:right="140" w:hanging="4"/>
        <w:spacing w:after="0" w:line="250" w:lineRule="auto"/>
        <w:tabs>
          <w:tab w:leader="none" w:pos="2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accountable for the Company’s use of the proceeds from the Notes or any money paid to the Company or upon the Company’s direction under any provision of this Indenture; (C) responsible for the use or application of any money received by any Paying Agent other than the Trustee; and</w:t>
      </w:r>
    </w:p>
    <w:p>
      <w:pPr>
        <w:ind w:left="4" w:right="240" w:hanging="4"/>
        <w:spacing w:after="0" w:line="260" w:lineRule="auto"/>
        <w:tabs>
          <w:tab w:leader="none" w:pos="29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for any statement or recital in this Indenture, the Notes or any other document relating to the sale of the Notes or this Indenture, other than the Trustee’s certificate of authentication.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10.05. 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except in the case of a Default or Event of Default in the payment of the principal of, or interest, if any, on, any Note,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in the payment or delivery of the consideration due upon Conversion, the Trustee may withhold such notice if and for so long as it in good faith determines that withholding such notice is in the interests of the Holders. For the avoidance of doubt, the Trustee will not be required to deliver such notice at any time after such Default or Event of Default is cured or waived.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as applicable, has occurred.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- 82 -</w:t>
      </w:r>
    </w:p>
    <w:p>
      <w:pPr>
        <w:sectPr>
          <w:pgSz w:w="11900" w:h="16838" w:orient="portrait"/>
          <w:cols w:equalWidth="0" w:num="1">
            <w:col w:w="10984"/>
          </w:cols>
          <w:pgMar w:left="436" w:top="270"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10.06. C</w:t>
      </w:r>
      <w:r>
        <w:rPr>
          <w:rFonts w:ascii="Times New Roman" w:cs="Times New Roman" w:eastAsia="Times New Roman" w:hAnsi="Times New Roman"/>
          <w:sz w:val="14"/>
          <w:szCs w:val="14"/>
          <w:b w:val="1"/>
          <w:bCs w:val="1"/>
          <w:color w:val="auto"/>
        </w:rPr>
        <w:t>OMPENSATION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NDEMNITY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60" w:firstLine="436"/>
        <w:spacing w:after="0" w:line="258" w:lineRule="auto"/>
        <w:tabs>
          <w:tab w:leader="none" w:pos="73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from time to time, pay the Trustee reasonable compensation for its acceptance of this Indenture and services under this Indenture as separately agreed to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7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indemnify the Trustee (in each of its capacities under this Indenture)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and defending itself against any claim (whether asserted by the Company, any Holder or any other Person) or liability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exercise or performance of any of its powers or duties under this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18"/>
          <w:szCs w:val="18"/>
          <w:b w:val="1"/>
          <w:bCs w:val="1"/>
          <w:color w:val="auto"/>
        </w:rPr>
        <w:t>Section 10.06(B)</w:t>
      </w:r>
      <w:r>
        <w:rPr>
          <w:rFonts w:ascii="Times New Roman" w:cs="Times New Roman" w:eastAsia="Times New Roman" w:hAnsi="Times New Roman"/>
          <w:sz w:val="18"/>
          <w:szCs w:val="18"/>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83" w:lineRule="exact"/>
        <w:rPr>
          <w:rFonts w:ascii="Times New Roman" w:cs="Times New Roman" w:eastAsia="Times New Roman" w:hAnsi="Times New Roman"/>
          <w:sz w:val="18"/>
          <w:szCs w:val="18"/>
          <w:color w:val="auto"/>
        </w:rPr>
      </w:pPr>
    </w:p>
    <w:p>
      <w:pPr>
        <w:ind w:right="480" w:firstLine="436"/>
        <w:spacing w:after="0" w:line="286" w:lineRule="auto"/>
        <w:tabs>
          <w:tab w:leader="none" w:pos="7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will survive the resignation or removal of the Trustee and the discharge of this Indenture.</w:t>
      </w:r>
    </w:p>
    <w:p>
      <w:pPr>
        <w:spacing w:after="0" w:line="154" w:lineRule="exact"/>
        <w:rPr>
          <w:rFonts w:ascii="Times New Roman" w:cs="Times New Roman" w:eastAsia="Times New Roman" w:hAnsi="Times New Roman"/>
          <w:sz w:val="18"/>
          <w:szCs w:val="18"/>
          <w:color w:val="auto"/>
        </w:rPr>
      </w:pPr>
    </w:p>
    <w:p>
      <w:pPr>
        <w:ind w:right="40" w:firstLine="436"/>
        <w:spacing w:after="0" w:line="268" w:lineRule="auto"/>
        <w:tabs>
          <w:tab w:leader="none" w:pos="73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secure the Company’s payment obligations in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the Trustee will have a lien prior to the Notes on all money or property held or collected by the Trustee, except that held in trust to pay principal of, or interest, if any, on, particular Notes, which lien will survive the discharge of this Indenture.</w:t>
      </w:r>
    </w:p>
    <w:p>
      <w:pPr>
        <w:spacing w:after="0" w:line="170" w:lineRule="exact"/>
        <w:rPr>
          <w:rFonts w:ascii="Times New Roman" w:cs="Times New Roman" w:eastAsia="Times New Roman" w:hAnsi="Times New Roman"/>
          <w:sz w:val="18"/>
          <w:szCs w:val="18"/>
          <w:color w:val="auto"/>
        </w:rPr>
      </w:pPr>
    </w:p>
    <w:p>
      <w:pPr>
        <w:ind w:right="120" w:firstLine="436"/>
        <w:spacing w:after="0" w:line="268" w:lineRule="auto"/>
        <w:tabs>
          <w:tab w:leader="none" w:pos="7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incurs expenses or renders services after an Event of Default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10.07. R</w:t>
      </w:r>
      <w:r>
        <w:rPr>
          <w:rFonts w:ascii="Times New Roman" w:cs="Times New Roman" w:eastAsia="Times New Roman" w:hAnsi="Times New Roman"/>
          <w:sz w:val="14"/>
          <w:szCs w:val="14"/>
          <w:b w:val="1"/>
          <w:bCs w:val="1"/>
          <w:color w:val="auto"/>
        </w:rPr>
        <w:t>EPLACEMENT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280" w:firstLine="436"/>
        <w:spacing w:after="0" w:line="286" w:lineRule="auto"/>
        <w:tabs>
          <w:tab w:leader="none" w:pos="7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ectPr>
          <w:pgSz w:w="11900" w:h="16838" w:orient="portrait"/>
          <w:cols w:equalWidth="0" w:num="1">
            <w:col w:w="11020"/>
          </w:cols>
          <w:pgMar w:left="440" w:top="266" w:right="439" w:bottom="1440" w:gutter="0" w:footer="0" w:header="0"/>
        </w:sectPr>
      </w:pPr>
    </w:p>
    <w:bookmarkStart w:id="93" w:name="page94"/>
    <w:bookmarkEnd w:id="93"/>
    <w:p>
      <w:pPr>
        <w:jc w:val="both"/>
        <w:ind w:right="100" w:firstLine="436"/>
        <w:spacing w:after="0" w:line="266" w:lineRule="auto"/>
        <w:tabs>
          <w:tab w:leader="none" w:pos="7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6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to be bankrupt or insolvent or an order for relief is entered with respect to the Trustee under any Bankruptcy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98"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jc w:val="both"/>
        <w:ind w:right="440" w:firstLine="436"/>
        <w:spacing w:after="0" w:line="289" w:lineRule="auto"/>
        <w:tabs>
          <w:tab w:leader="none" w:pos="72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57" w:lineRule="exact"/>
        <w:rPr>
          <w:rFonts w:ascii="Times New Roman" w:cs="Times New Roman" w:eastAsia="Times New Roman" w:hAnsi="Times New Roman"/>
          <w:sz w:val="17"/>
          <w:szCs w:val="17"/>
          <w:color w:val="auto"/>
        </w:rPr>
      </w:pPr>
    </w:p>
    <w:p>
      <w:pPr>
        <w:jc w:val="both"/>
        <w:ind w:right="120" w:firstLine="436"/>
        <w:spacing w:after="0" w:line="266" w:lineRule="auto"/>
        <w:tabs>
          <w:tab w:leader="none" w:pos="7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1" w:lineRule="exact"/>
        <w:rPr>
          <w:rFonts w:ascii="Times New Roman" w:cs="Times New Roman" w:eastAsia="Times New Roman" w:hAnsi="Times New Roman"/>
          <w:sz w:val="18"/>
          <w:szCs w:val="18"/>
          <w:color w:val="auto"/>
        </w:rPr>
      </w:pPr>
    </w:p>
    <w:p>
      <w:pPr>
        <w:ind w:right="200" w:firstLine="436"/>
        <w:spacing w:after="0" w:line="286" w:lineRule="auto"/>
        <w:tabs>
          <w:tab w:leader="none" w:pos="7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after written request by a Holder of at least six (6) months,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 then such Holder may petition any court of competent jurisdiction for the removal of the Trustee and the appointment of a successor Trustee.</w:t>
      </w:r>
    </w:p>
    <w:p>
      <w:pPr>
        <w:spacing w:after="0" w:line="158" w:lineRule="exact"/>
        <w:rPr>
          <w:rFonts w:ascii="Times New Roman" w:cs="Times New Roman" w:eastAsia="Times New Roman" w:hAnsi="Times New Roman"/>
          <w:sz w:val="18"/>
          <w:szCs w:val="18"/>
          <w:color w:val="auto"/>
        </w:rPr>
      </w:pPr>
    </w:p>
    <w:p>
      <w:pPr>
        <w:ind w:firstLine="436"/>
        <w:spacing w:after="0" w:line="258" w:lineRule="auto"/>
        <w:tabs>
          <w:tab w:leader="none" w:pos="70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8"/>
          <w:szCs w:val="18"/>
          <w:b w:val="1"/>
          <w:bCs w:val="1"/>
          <w:color w:val="auto"/>
        </w:rPr>
        <w:t>Section 10.06(D)</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10.08. S</w:t>
      </w:r>
      <w:r>
        <w:rPr>
          <w:rFonts w:ascii="Times New Roman" w:cs="Times New Roman" w:eastAsia="Times New Roman" w:hAnsi="Times New Roman"/>
          <w:sz w:val="14"/>
          <w:szCs w:val="14"/>
          <w:b w:val="1"/>
          <w:bCs w:val="1"/>
          <w:color w:val="auto"/>
        </w:rPr>
        <w:t>UCCESSOR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entity is otherwise qualified and eligible to act as such under this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000"/>
          </w:cols>
          <w:pgMar w:left="440" w:top="270"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10.09. 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ISQUALIFICATION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11.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11.01. 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Adaptive Biotechnologies Corporation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1165 Eastlake Avenue East</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Seattle, Washington 98109</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701 Fifth Avenue, Suite 6900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Seattle, Washington 98104</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Attention: Andrew Ledbetter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Tyler Hollenbeck</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Justin Michael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633 W 5th St., 24th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Attention: B. Scarbrough (Adaptive Biotechnologies Administrator)</w:t>
      </w:r>
    </w:p>
    <w:p>
      <w:pPr>
        <w:spacing w:after="0" w:line="20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preceding paragraph, notices to the Trustee (other than a notice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or any Note Agent must be in writing and will be deemed to have been given upon actual receipt by the Trustee or such Note Agent, as applicable.</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- 85 -</w:t>
      </w:r>
    </w:p>
    <w:p>
      <w:pPr>
        <w:sectPr>
          <w:pgSz w:w="11900" w:h="16838" w:orient="portrait"/>
          <w:cols w:equalWidth="0" w:num="1">
            <w:col w:w="10940"/>
          </w:cols>
          <w:pgMar w:left="440" w:top="266" w:right="519" w:bottom="1440" w:gutter="0" w:footer="0" w:header="0"/>
        </w:sectPr>
      </w:pPr>
    </w:p>
    <w:bookmarkStart w:id="95" w:name="page96"/>
    <w:bookmarkEnd w:id="95"/>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or the Trustee, by notice to the other, may designate additional or different addresses (including facsimile numbers and electronic addresses) for subsequent notices or communications.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spacing w:after="0" w:line="19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notice or communication to a Holder of a Global Note may, and will,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sent in the manner provided above within the time prescribed, it will be deemed to have been duly given, whether or not the addressee receives 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1000"/>
          </w:cols>
          <w:pgMar w:left="440" w:top="270" w:right="459" w:bottom="1440" w:gutter="0" w:footer="0" w:header="0"/>
        </w:sectPr>
      </w:pPr>
    </w:p>
    <w:bookmarkStart w:id="96" w:name="page97"/>
    <w:bookmarkEnd w:id="96"/>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w:t>
      </w:r>
    </w:p>
    <w:p>
      <w:pPr>
        <w:spacing w:after="0" w:line="2" w:lineRule="exact"/>
        <w:rPr>
          <w:sz w:val="20"/>
          <w:szCs w:val="20"/>
          <w:color w:val="auto"/>
        </w:rPr>
      </w:pPr>
    </w:p>
    <w:p>
      <w:pPr>
        <w:ind w:left="4" w:right="460" w:hanging="4"/>
        <w:spacing w:after="0" w:line="260" w:lineRule="auto"/>
        <w:tabs>
          <w:tab w:leader="none" w:pos="2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provision of this Indenture requires a party to send notice to more than one receiving party, and each receiving party is the same Person acting in different capacities, then only one such notice need be sent to such Person.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11.02. D</w:t>
      </w:r>
      <w:r>
        <w:rPr>
          <w:rFonts w:ascii="Times New Roman" w:cs="Times New Roman" w:eastAsia="Times New Roman" w:hAnsi="Times New Roman"/>
          <w:sz w:val="14"/>
          <w:szCs w:val="14"/>
          <w:b w:val="1"/>
          <w:bCs w:val="1"/>
          <w:color w:val="auto"/>
        </w:rPr>
        <w:t>ELIVERY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OUNSEL AS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RECEDENT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(other than the initial authentication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 under this Indenture), the Company will furnish to the Trustee:</w:t>
      </w:r>
    </w:p>
    <w:p>
      <w:pPr>
        <w:spacing w:after="0" w:line="203" w:lineRule="exact"/>
        <w:rPr>
          <w:sz w:val="20"/>
          <w:szCs w:val="20"/>
          <w:color w:val="auto"/>
        </w:rPr>
      </w:pPr>
    </w:p>
    <w:p>
      <w:pPr>
        <w:ind w:left="4" w:right="180" w:firstLine="436"/>
        <w:spacing w:after="0" w:line="286" w:lineRule="auto"/>
        <w:tabs>
          <w:tab w:leader="none" w:pos="73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54" w:lineRule="exact"/>
        <w:rPr>
          <w:rFonts w:ascii="Times New Roman" w:cs="Times New Roman" w:eastAsia="Times New Roman" w:hAnsi="Times New Roman"/>
          <w:sz w:val="18"/>
          <w:szCs w:val="18"/>
          <w:color w:val="auto"/>
        </w:rPr>
      </w:pPr>
    </w:p>
    <w:p>
      <w:pPr>
        <w:ind w:left="4" w:right="400" w:firstLine="436"/>
        <w:spacing w:after="0" w:line="286" w:lineRule="auto"/>
        <w:tabs>
          <w:tab w:leader="none" w:pos="72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such counsel, all such conditions precedent and covenants, if any, have been satisfied.</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11.03. S</w:t>
      </w:r>
      <w:r>
        <w:rPr>
          <w:rFonts w:ascii="Times New Roman" w:cs="Times New Roman" w:eastAsia="Times New Roman" w:hAnsi="Times New Roman"/>
          <w:sz w:val="14"/>
          <w:szCs w:val="14"/>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EQUIRED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OUNSEL</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Each Officer’s Certificate (other than an Officer’s Certificate pursuant to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or Opinion of Counsel with respect to compliance with a covenant or condition provided for in this Indenture will include:</w:t>
      </w:r>
    </w:p>
    <w:p>
      <w:pPr>
        <w:spacing w:after="0" w:line="159" w:lineRule="exact"/>
        <w:rPr>
          <w:sz w:val="20"/>
          <w:szCs w:val="20"/>
          <w:color w:val="auto"/>
        </w:rPr>
      </w:pPr>
    </w:p>
    <w:p>
      <w:pPr>
        <w:ind w:left="744" w:hanging="304"/>
        <w:spacing w:after="0"/>
        <w:tabs>
          <w:tab w:leader="none" w:pos="7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signatory thereto has read such covenant or condition;</w:t>
      </w:r>
    </w:p>
    <w:p>
      <w:pPr>
        <w:spacing w:after="0" w:line="225"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therein are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w:t>
      </w:r>
    </w:p>
    <w:p>
      <w:pPr>
        <w:spacing w:after="0" w:line="206" w:lineRule="exact"/>
        <w:rPr>
          <w:rFonts w:ascii="Times New Roman" w:cs="Times New Roman" w:eastAsia="Times New Roman" w:hAnsi="Times New Roman"/>
          <w:sz w:val="18"/>
          <w:szCs w:val="18"/>
          <w:color w:val="auto"/>
        </w:rPr>
      </w:pPr>
    </w:p>
    <w:p>
      <w:pPr>
        <w:ind w:left="4" w:firstLine="436"/>
        <w:spacing w:after="0" w:line="282" w:lineRule="auto"/>
        <w:tabs>
          <w:tab w:leader="none" w:pos="72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such signatory, such covenant or condition has been satisfied.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11.04. R</w:t>
      </w:r>
      <w:r>
        <w:rPr>
          <w:rFonts w:ascii="Times New Roman" w:cs="Times New Roman" w:eastAsia="Times New Roman" w:hAnsi="Times New Roman"/>
          <w:sz w:val="14"/>
          <w:szCs w:val="14"/>
          <w:b w:val="1"/>
          <w:bCs w:val="1"/>
          <w:color w:val="auto"/>
        </w:rPr>
        <w:t>ULES BY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- 87 -</w:t>
      </w:r>
    </w:p>
    <w:p>
      <w:pPr>
        <w:sectPr>
          <w:pgSz w:w="11900" w:h="16838" w:orient="portrait"/>
          <w:cols w:equalWidth="0" w:num="1">
            <w:col w:w="10984"/>
          </w:cols>
          <w:pgMar w:left="436" w:top="270"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11.05.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MPLOYEES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11.06. 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RIAL</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11.07. S</w:t>
      </w:r>
      <w:r>
        <w:rPr>
          <w:rFonts w:ascii="Times New Roman" w:cs="Times New Roman" w:eastAsia="Times New Roman" w:hAnsi="Times New Roman"/>
          <w:sz w:val="14"/>
          <w:szCs w:val="14"/>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URISDICTION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11.08.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DVERSE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NTERPRETATION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11.09. S</w:t>
      </w:r>
      <w:r>
        <w:rPr>
          <w:rFonts w:ascii="Times New Roman" w:cs="Times New Roman" w:eastAsia="Times New Roman" w:hAnsi="Times New Roman"/>
          <w:sz w:val="14"/>
          <w:szCs w:val="14"/>
          <w:b w:val="1"/>
          <w:bCs w:val="1"/>
          <w:color w:val="auto"/>
        </w:rPr>
        <w:t>UCCESSORS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in this Indenture will bind its successors.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- 88 -</w:t>
      </w:r>
    </w:p>
    <w:p>
      <w:pPr>
        <w:sectPr>
          <w:pgSz w:w="11900" w:h="16838" w:orient="portrait"/>
          <w:cols w:equalWidth="0" w:num="1">
            <w:col w:w="10980"/>
          </w:cols>
          <w:pgMar w:left="440" w:top="266"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11.10. F</w:t>
      </w:r>
      <w:r>
        <w:rPr>
          <w:rFonts w:ascii="Times New Roman" w:cs="Times New Roman" w:eastAsia="Times New Roman" w:hAnsi="Times New Roman"/>
          <w:sz w:val="14"/>
          <w:szCs w:val="14"/>
          <w:b w:val="1"/>
          <w:bCs w:val="1"/>
          <w:color w:val="auto"/>
        </w:rPr>
        <w:t>ORCE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AJEURE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11.11. U.S.A. PATRIOT A</w:t>
      </w:r>
      <w:r>
        <w:rPr>
          <w:rFonts w:ascii="Times New Roman" w:cs="Times New Roman" w:eastAsia="Times New Roman" w:hAnsi="Times New Roman"/>
          <w:sz w:val="14"/>
          <w:szCs w:val="14"/>
          <w:b w:val="1"/>
          <w:bCs w:val="1"/>
          <w:color w:val="auto"/>
        </w:rPr>
        <w:t>CT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11.12. C</w:t>
      </w:r>
      <w:r>
        <w:rPr>
          <w:rFonts w:ascii="Times New Roman" w:cs="Times New Roman" w:eastAsia="Times New Roman" w:hAnsi="Times New Roman"/>
          <w:sz w:val="14"/>
          <w:szCs w:val="14"/>
          <w:b w:val="1"/>
          <w:bCs w:val="1"/>
          <w:color w:val="auto"/>
        </w:rPr>
        <w:t>ALCULATIONS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11.13. 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11.14. 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- 89 -</w:t>
      </w:r>
    </w:p>
    <w:p>
      <w:pPr>
        <w:sectPr>
          <w:pgSz w:w="11900" w:h="16838" w:orient="portrait"/>
          <w:cols w:equalWidth="0" w:num="1">
            <w:col w:w="10920"/>
          </w:cols>
          <w:pgMar w:left="440" w:top="266" w:right="5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11.15. 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11.16.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Holder of a Note agrees, and each beneficial owner of an interest in a Global Note, by its acquisition of such interest, is deemed to agree, that if the Company or other applicable withholding agent (including the Trustee)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ectPr>
          <w:pgSz w:w="11900" w:h="16838" w:orient="portrait"/>
          <w:cols w:equalWidth="0" w:num="1">
            <w:col w:w="11000"/>
          </w:cols>
          <w:pgMar w:left="440" w:top="266"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to this Indenture have caused this Indenture to be duly executed as of the date first written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DAPTIVE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IOTECHNOLOGIES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Kyle Piskel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Kyle Piskel</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10480"/>
          </w:cols>
          <w:pgMar w:left="880" w:top="266" w:right="539" w:bottom="1440" w:gutter="0" w:footer="0" w:header="0"/>
        </w:sectPr>
      </w:pPr>
    </w:p>
    <w:bookmarkStart w:id="101" w:name="page102"/>
    <w:bookmarkEnd w:id="101"/>
    <w:tbl>
      <w:tblPr>
        <w:tblLayout w:type="fixed"/>
        <w:tblInd w:w="4"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391"/>
        </w:trPr>
        <w:tc>
          <w:tcPr>
            <w:tcW w:w="9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OF NOTE</w:t>
            </w:r>
          </w:p>
        </w:tc>
        <w:tc>
          <w:tcPr>
            <w:tcW w:w="24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53"/>
        </w:trPr>
        <w:tc>
          <w:tcPr>
            <w:tcW w:w="980" w:type="dxa"/>
            <w:vAlign w:val="bottom"/>
          </w:tcPr>
          <w:p>
            <w:pPr>
              <w:spacing w:after="0"/>
              <w:rPr>
                <w:sz w:val="24"/>
                <w:szCs w:val="24"/>
                <w:color w:val="auto"/>
              </w:rPr>
            </w:pPr>
          </w:p>
        </w:tc>
        <w:tc>
          <w:tcPr>
            <w:tcW w:w="75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Global Note Legend, if applicable</w:t>
            </w:r>
            <w:r>
              <w:rPr>
                <w:rFonts w:ascii="Times New Roman" w:cs="Times New Roman" w:eastAsia="Times New Roman" w:hAnsi="Times New Roman"/>
                <w:sz w:val="18"/>
                <w:szCs w:val="18"/>
                <w:color w:val="auto"/>
                <w:w w:val="99"/>
              </w:rPr>
              <w:t>]</w:t>
            </w:r>
          </w:p>
        </w:tc>
        <w:tc>
          <w:tcPr>
            <w:tcW w:w="24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758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Restricted Note Legend, if applicable</w:t>
            </w:r>
            <w:r>
              <w:rPr>
                <w:rFonts w:ascii="Times New Roman" w:cs="Times New Roman" w:eastAsia="Times New Roman" w:hAnsi="Times New Roman"/>
                <w:sz w:val="18"/>
                <w:szCs w:val="18"/>
                <w:color w:val="auto"/>
                <w:w w:val="99"/>
              </w:rPr>
              <w:t>]</w:t>
            </w:r>
          </w:p>
        </w:tc>
        <w:tc>
          <w:tcPr>
            <w:tcW w:w="24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758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Non-Affiliate Legend</w:t>
            </w:r>
            <w:r>
              <w:rPr>
                <w:rFonts w:ascii="Times New Roman" w:cs="Times New Roman" w:eastAsia="Times New Roman" w:hAnsi="Times New Roman"/>
                <w:sz w:val="18"/>
                <w:szCs w:val="18"/>
                <w:color w:val="auto"/>
                <w:w w:val="99"/>
              </w:rPr>
              <w:t>]</w:t>
            </w:r>
          </w:p>
        </w:tc>
        <w:tc>
          <w:tcPr>
            <w:tcW w:w="24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758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ADAPTIVE BIOTECHNOLOGIES CORPORATION</w:t>
            </w:r>
          </w:p>
        </w:tc>
        <w:tc>
          <w:tcPr>
            <w:tcW w:w="24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758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0% Convertible Senior Note due 2031</w:t>
            </w:r>
          </w:p>
        </w:tc>
        <w:tc>
          <w:tcPr>
            <w:tcW w:w="2460" w:type="dxa"/>
            <w:vAlign w:val="bottom"/>
          </w:tcPr>
          <w:p>
            <w:pPr>
              <w:spacing w:after="0"/>
              <w:rPr>
                <w:sz w:val="24"/>
                <w:szCs w:val="24"/>
                <w:color w:val="auto"/>
              </w:rPr>
            </w:pP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7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[___][</w:t>
            </w:r>
            <w:r>
              <w:rPr>
                <w:rFonts w:ascii="Times New Roman" w:cs="Times New Roman" w:eastAsia="Times New Roman" w:hAnsi="Times New Roman"/>
                <w:sz w:val="18"/>
                <w:szCs w:val="18"/>
                <w:i w:val="1"/>
                <w:iCs w:val="1"/>
                <w:color w:val="auto"/>
              </w:rPr>
              <w:t>Insert for a “restricted” CUSIP number</w:t>
            </w: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Certificate No. [___]</w:t>
            </w: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ISIN No.:</w:t>
            </w:r>
          </w:p>
        </w:tc>
        <w:tc>
          <w:tcPr>
            <w:tcW w:w="7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[___][</w:t>
            </w:r>
            <w:r>
              <w:rPr>
                <w:rFonts w:ascii="Times New Roman" w:cs="Times New Roman" w:eastAsia="Times New Roman" w:hAnsi="Times New Roman"/>
                <w:sz w:val="18"/>
                <w:szCs w:val="18"/>
                <w:i w:val="1"/>
                <w:iCs w:val="1"/>
                <w:color w:val="auto"/>
              </w:rPr>
              <w:t>Insert for a “restricted” ISIN number</w:t>
            </w:r>
            <w:r>
              <w:rPr>
                <w:rFonts w:ascii="Times New Roman" w:cs="Times New Roman" w:eastAsia="Times New Roman" w:hAnsi="Times New Roman"/>
                <w:sz w:val="18"/>
                <w:szCs w:val="18"/>
                <w:color w:val="auto"/>
              </w:rPr>
              <w:t>: *]</w:t>
            </w:r>
          </w:p>
        </w:tc>
        <w:tc>
          <w:tcPr>
            <w:tcW w:w="246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Adaptive Biotechnologies Corporation, a Washington corporation, for value received, promises to pay to [Cede &amp; Co.], or its registered assigns, the principal sum of [___] dollars ($[___]) [(as revised by the attached Schedule of Exchanges of Interests in the Global Note)]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on July 1, 2031 and, to the extent applicable, to pay Special Interest and Additional Interest thereon, as provided in the Indenture referred to below, until the principal and all accrued and unpaid interest, if any, are paid or duly provided for.</w:t>
      </w:r>
    </w:p>
    <w:p>
      <w:pPr>
        <w:sectPr>
          <w:pgSz w:w="11900" w:h="16838" w:orient="portrait"/>
          <w:cols w:equalWidth="0" w:num="1">
            <w:col w:w="11024"/>
          </w:cols>
          <w:pgMar w:left="436" w:top="266" w:right="439" w:bottom="1440" w:gutter="0" w:footer="0" w:header="0"/>
        </w:sectPr>
      </w:pP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and July 1 of each year.</w:t>
      </w:r>
    </w:p>
    <w:p>
      <w:pPr>
        <w:spacing w:after="0" w:line="200" w:lineRule="exact"/>
        <w:rPr>
          <w:sz w:val="20"/>
          <w:szCs w:val="20"/>
          <w:color w:val="auto"/>
        </w:rPr>
      </w:pPr>
    </w:p>
    <w:p>
      <w:pPr>
        <w:sectPr>
          <w:pgSz w:w="11900" w:h="16838" w:orient="portrait"/>
          <w:cols w:equalWidth="0" w:num="3">
            <w:col w:w="1764" w:space="140"/>
            <w:col w:w="40" w:space="180"/>
            <w:col w:w="8900"/>
          </w:cols>
          <w:pgMar w:left="436" w:top="266"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Interest Record Date: 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and June 15.</w:t>
      </w:r>
    </w:p>
    <w:p>
      <w:pPr>
        <w:spacing w:after="0" w:line="200" w:lineRule="exact"/>
        <w:rPr>
          <w:sz w:val="20"/>
          <w:szCs w:val="20"/>
          <w:color w:val="auto"/>
        </w:rPr>
      </w:pPr>
    </w:p>
    <w:p>
      <w:pPr>
        <w:sectPr>
          <w:pgSz w:w="11900" w:h="16838" w:orient="portrait"/>
          <w:cols w:equalWidth="0" w:num="4">
            <w:col w:w="1584" w:space="140"/>
            <w:col w:w="40" w:space="140"/>
            <w:col w:w="40" w:space="180"/>
            <w:col w:w="8900"/>
          </w:cols>
          <w:pgMar w:left="436" w:top="266" w:right="43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6" w:lineRule="exact"/>
        <w:rPr>
          <w:sz w:val="20"/>
          <w:szCs w:val="20"/>
          <w:color w:val="auto"/>
        </w:rPr>
      </w:pPr>
    </w:p>
    <w:p>
      <w:pPr>
        <w:ind w:left="424" w:hanging="424"/>
        <w:spacing w:after="0"/>
        <w:tabs>
          <w:tab w:leader="none" w:pos="424" w:val="left"/>
        </w:tabs>
        <w:numPr>
          <w:ilvl w:val="0"/>
          <w:numId w:val="1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bracketed language for Global Notes only.</w:t>
      </w:r>
    </w:p>
    <w:p>
      <w:pPr>
        <w:spacing w:after="0" w:line="2" w:lineRule="exact"/>
        <w:rPr>
          <w:sz w:val="20"/>
          <w:szCs w:val="20"/>
          <w:color w:val="auto"/>
        </w:rPr>
      </w:pPr>
    </w:p>
    <w:p>
      <w:pPr>
        <w:ind w:left="424" w:right="40" w:hanging="424"/>
        <w:spacing w:after="0" w:line="254" w:lineRule="auto"/>
        <w:tabs>
          <w:tab w:leader="none" w:pos="42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66" w:right="439" w:bottom="1440" w:gutter="0" w:footer="0" w:header="0"/>
          <w:type w:val="continuous"/>
        </w:sectPr>
      </w:pPr>
    </w:p>
    <w:bookmarkStart w:id="102" w:name="page103"/>
    <w:bookmarkEnd w:id="102"/>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Adaptive Biotechnologies Corporation has caused this instrument to be duly executed as of the date set forth below.</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DAPTIVE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IOTECHNOLOGIES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29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0</wp:posOffset>
            </wp:positionV>
            <wp:extent cx="31457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6858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00"/>
          </w:cols>
          <w:pgMar w:left="440" w:top="266" w:right="559" w:bottom="1440" w:gutter="0" w:footer="0" w:header="0"/>
        </w:sectPr>
      </w:pPr>
    </w:p>
    <w:bookmarkStart w:id="103" w:name="page104"/>
    <w:bookmarkEnd w:id="103"/>
    <w:p>
      <w:pPr>
        <w:ind w:left="3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9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0</wp:posOffset>
            </wp:positionV>
            <wp:extent cx="31457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6858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360"/>
          </w:cols>
          <w:pgMar w:left="440" w:top="270" w:right="1099" w:bottom="1440" w:gutter="0" w:footer="0" w:header="0"/>
        </w:sectPr>
      </w:pPr>
    </w:p>
    <w:bookmarkStart w:id="104" w:name="page105"/>
    <w:bookmarkEnd w:id="10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ADAPTIVE BIOTECHNOLOGIES CORPORATION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0% Convertible Senior Note due 2031</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This Note is one of a duly authorized issue of notes of Adaptive Biotechnologies Corporation, a Washington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all issued or to be issued pursuant to an indenture, dated as of June 22, 2026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Capitalized terms used in this Note without definition have the respective meanings ascribed to them in the Indenture.</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2" w:lineRule="exact"/>
        <w:rPr>
          <w:sz w:val="20"/>
          <w:szCs w:val="20"/>
          <w:color w:val="auto"/>
        </w:rPr>
      </w:pPr>
    </w:p>
    <w:p>
      <w:pPr>
        <w:ind w:right="20" w:firstLine="436"/>
        <w:spacing w:after="0" w:line="268"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This Note will not bear regular interest, and the principal amount of this Note will not accrete. However, Special Interest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Interest will accrue on this Note in the circumstances, at the rates, and payable on the dates and in the manner set forth in Sections 2.05, 3.04 and 7.03 of the Indenture.</w:t>
      </w:r>
    </w:p>
    <w:p>
      <w:pPr>
        <w:spacing w:after="0" w:line="17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This Note will mature on July 1, 2031, unless earlier repurchased, redeemed or Converted.</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Cash amounts due on this Note will be paid in the manner set forth in Section 2.04 of the Indenture.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Holder of this Note will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right="360" w:firstLine="436"/>
        <w:spacing w:after="0" w:line="268"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 Transfers and Exchanges</w:t>
      </w:r>
      <w:r>
        <w:rPr>
          <w:rFonts w:ascii="Times New Roman" w:cs="Times New Roman" w:eastAsia="Times New Roman" w:hAnsi="Times New Roman"/>
          <w:sz w:val="18"/>
          <w:szCs w:val="18"/>
          <w:color w:val="auto"/>
        </w:rPr>
        <w:t>. All Notes will be in registered form, without coupons, in principal amounts equal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0" w:lineRule="exact"/>
        <w:rPr>
          <w:rFonts w:ascii="Times New Roman" w:cs="Times New Roman" w:eastAsia="Times New Roman" w:hAnsi="Times New Roman"/>
          <w:sz w:val="18"/>
          <w:szCs w:val="18"/>
          <w:color w:val="auto"/>
        </w:rPr>
      </w:pPr>
    </w:p>
    <w:p>
      <w:pPr>
        <w:ind w:firstLine="436"/>
        <w:spacing w:after="0" w:line="268"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Holders to Require the Company to Repurchase Notes Upon a Fundamental Change</w:t>
      </w:r>
      <w:r>
        <w:rPr>
          <w:rFonts w:ascii="Times New Roman" w:cs="Times New Roman" w:eastAsia="Times New Roman" w:hAnsi="Times New Roman"/>
          <w:sz w:val="18"/>
          <w:szCs w:val="18"/>
          <w:color w:val="auto"/>
        </w:rPr>
        <w:t>. If a Fundamental Change (other than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70" w:lineRule="exact"/>
        <w:rPr>
          <w:rFonts w:ascii="Times New Roman" w:cs="Times New Roman" w:eastAsia="Times New Roman" w:hAnsi="Times New Roman"/>
          <w:sz w:val="18"/>
          <w:szCs w:val="18"/>
          <w:color w:val="auto"/>
        </w:rPr>
      </w:pPr>
    </w:p>
    <w:p>
      <w:pPr>
        <w:ind w:right="60" w:firstLine="436"/>
        <w:spacing w:after="0" w:line="286"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the Company to Redeem the Notes</w:t>
      </w:r>
      <w:r>
        <w:rPr>
          <w:rFonts w:ascii="Times New Roman" w:cs="Times New Roman" w:eastAsia="Times New Roman" w:hAnsi="Times New Roman"/>
          <w:sz w:val="18"/>
          <w:szCs w:val="18"/>
          <w:color w:val="auto"/>
        </w:rPr>
        <w:t>. The Company will have the right to redeem the Notes for cash in the manner,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set forth in Section 4.03 of the Indenture.</w:t>
      </w:r>
    </w:p>
    <w:p>
      <w:pPr>
        <w:spacing w:after="0" w:line="154" w:lineRule="exact"/>
        <w:rPr>
          <w:rFonts w:ascii="Times New Roman" w:cs="Times New Roman" w:eastAsia="Times New Roman" w:hAnsi="Times New Roman"/>
          <w:sz w:val="18"/>
          <w:szCs w:val="18"/>
          <w:color w:val="auto"/>
        </w:rPr>
      </w:pPr>
    </w:p>
    <w:p>
      <w:pPr>
        <w:ind w:right="20" w:firstLine="436"/>
        <w:spacing w:after="0" w:line="286"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Holder of this Note may Convert this Note into Conversion Consideration in the manner, and subject to the terms,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5 of the Indenture.</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60"/>
          </w:cols>
          <w:pgMar w:left="440" w:top="266" w:right="499" w:bottom="1440" w:gutter="0" w:footer="0" w:header="0"/>
        </w:sectPr>
      </w:pPr>
    </w:p>
    <w:bookmarkStart w:id="105" w:name="page106"/>
    <w:bookmarkEnd w:id="105"/>
    <w:p>
      <w:pPr>
        <w:ind w:right="620" w:firstLine="436"/>
        <w:spacing w:after="0" w:line="286" w:lineRule="auto"/>
        <w:tabs>
          <w:tab w:leader="none" w:pos="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the Company May Merge, Etc</w:t>
      </w:r>
      <w:r>
        <w:rPr>
          <w:rFonts w:ascii="Times New Roman" w:cs="Times New Roman" w:eastAsia="Times New Roman" w:hAnsi="Times New Roman"/>
          <w:sz w:val="18"/>
          <w:szCs w:val="18"/>
          <w:color w:val="auto"/>
        </w:rPr>
        <w:t>. Article 6 of the Indenture places limited restrictions on the Company’s ability to be a party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Event.</w:t>
      </w:r>
    </w:p>
    <w:p>
      <w:pPr>
        <w:spacing w:after="0" w:line="154" w:lineRule="exact"/>
        <w:rPr>
          <w:rFonts w:ascii="Times New Roman" w:cs="Times New Roman" w:eastAsia="Times New Roman" w:hAnsi="Times New Roman"/>
          <w:sz w:val="18"/>
          <w:szCs w:val="18"/>
          <w:color w:val="auto"/>
        </w:rPr>
      </w:pPr>
    </w:p>
    <w:p>
      <w:pPr>
        <w:ind w:firstLine="436"/>
        <w:spacing w:after="0" w:line="268"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Defaults and Remedies</w:t>
      </w:r>
      <w:r>
        <w:rPr>
          <w:rFonts w:ascii="Times New Roman" w:cs="Times New Roman" w:eastAsia="Times New Roman" w:hAnsi="Times New Roman"/>
          <w:sz w:val="18"/>
          <w:szCs w:val="18"/>
          <w:color w:val="auto"/>
        </w:rPr>
        <w:t>. If an Event of Default occurs, then the principal amount of, and all accrued and unpaid interest, if any, on,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then outstanding may (and, in certain circumstances, will automatically) become due and payable in the manner, and subject to the terms, set forth in Article 7 of the Indenture.</w:t>
      </w:r>
    </w:p>
    <w:p>
      <w:pPr>
        <w:spacing w:after="0" w:line="170" w:lineRule="exact"/>
        <w:rPr>
          <w:rFonts w:ascii="Times New Roman" w:cs="Times New Roman" w:eastAsia="Times New Roman" w:hAnsi="Times New Roman"/>
          <w:sz w:val="18"/>
          <w:szCs w:val="18"/>
          <w:color w:val="auto"/>
        </w:rPr>
      </w:pPr>
    </w:p>
    <w:p>
      <w:pPr>
        <w:ind w:right="360" w:firstLine="436"/>
        <w:spacing w:after="0" w:line="268" w:lineRule="auto"/>
        <w:tabs>
          <w:tab w:leader="none" w:pos="7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Supplements and Waivers</w:t>
      </w:r>
      <w:r>
        <w:rPr>
          <w:rFonts w:ascii="Times New Roman" w:cs="Times New Roman" w:eastAsia="Times New Roman" w:hAnsi="Times New Roman"/>
          <w:sz w:val="18"/>
          <w:szCs w:val="18"/>
          <w:color w:val="auto"/>
        </w:rPr>
        <w:t>. The Company and the Trustee may amend or supplement the Indenture or the Notes or waive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provision of the Indenture or the Notes in the manner, and subject to the terms, set forth in Section 7.05 and Article 8 of the Indenture.</w:t>
      </w:r>
    </w:p>
    <w:p>
      <w:pPr>
        <w:spacing w:after="0" w:line="170" w:lineRule="exact"/>
        <w:rPr>
          <w:rFonts w:ascii="Times New Roman" w:cs="Times New Roman" w:eastAsia="Times New Roman" w:hAnsi="Times New Roman"/>
          <w:sz w:val="18"/>
          <w:szCs w:val="18"/>
          <w:color w:val="auto"/>
        </w:rPr>
      </w:pPr>
    </w:p>
    <w:p>
      <w:pPr>
        <w:ind w:right="100" w:firstLine="436"/>
        <w:spacing w:after="0" w:line="262"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Personal Liability of Directors, Officers, Employees and Stockholders</w:t>
      </w:r>
      <w:r>
        <w:rPr>
          <w:rFonts w:ascii="Times New Roman" w:cs="Times New Roman" w:eastAsia="Times New Roman" w:hAnsi="Times New Roman"/>
          <w:sz w:val="18"/>
          <w:szCs w:val="18"/>
          <w:color w:val="auto"/>
        </w:rPr>
        <w:t>. No past, present or future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6" w:lineRule="exact"/>
        <w:rPr>
          <w:rFonts w:ascii="Times New Roman" w:cs="Times New Roman" w:eastAsia="Times New Roman" w:hAnsi="Times New Roman"/>
          <w:sz w:val="18"/>
          <w:szCs w:val="18"/>
          <w:color w:val="auto"/>
        </w:rPr>
      </w:pPr>
    </w:p>
    <w:p>
      <w:pPr>
        <w:ind w:right="180" w:firstLine="436"/>
        <w:spacing w:after="0" w:line="286"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No Note will be valid until it is authenticated by the Trustee. A Note will be deemed to be duly authenticated only when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signatory of the Trustee (or a duly appointed authenticating agent) manually signs the certificate of authentication of such Note.</w:t>
      </w:r>
    </w:p>
    <w:p>
      <w:pPr>
        <w:spacing w:after="0" w:line="154" w:lineRule="exact"/>
        <w:rPr>
          <w:rFonts w:ascii="Times New Roman" w:cs="Times New Roman" w:eastAsia="Times New Roman" w:hAnsi="Times New Roman"/>
          <w:sz w:val="18"/>
          <w:szCs w:val="18"/>
          <w:color w:val="auto"/>
        </w:rPr>
      </w:pPr>
    </w:p>
    <w:p>
      <w:pPr>
        <w:ind w:right="100" w:firstLine="436"/>
        <w:spacing w:after="0" w:line="268"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its assignee, such as TEN COM (tenants in common),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 (tenants by the entireties), JT TEN (joint tenants with right of survivorship and not as tenants in common), CUST (custodian), and U/G/M/A (Uniform Gift to Minors Act).</w:t>
      </w:r>
    </w:p>
    <w:p>
      <w:pPr>
        <w:spacing w:after="0" w:line="17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NOTE, AND ANY CLAIM, CONTROVERSY OR DISPUTE ARISING UNDER OR RELATED TO THIS NOTE,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GOVERNED BY AND CONSTRUED IN ACCORDANCE WITH THE LAWS OF THE STATE OF NEW YORK.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To request a copy of the Indenture, which the Company will provide to any Holder at no charge, please send a written request to the following address: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Adaptive Biotechnologies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1165 Eastlake Avenue East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Seattle, Washington 98109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0"/>
          </w:cols>
          <w:pgMar w:left="440" w:top="266" w:right="479" w:bottom="1440" w:gutter="0" w:footer="0" w:header="0"/>
        </w:sectPr>
      </w:pPr>
    </w:p>
    <w:bookmarkStart w:id="106" w:name="page107"/>
    <w:bookmarkEnd w:id="10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INTERESTS IN THE GLOBAL NOTE*</w:t>
      </w:r>
    </w:p>
    <w:p>
      <w:pPr>
        <w:spacing w:after="0" w:line="229" w:lineRule="exact"/>
        <w:rPr>
          <w:sz w:val="20"/>
          <w:szCs w:val="20"/>
          <w:color w:val="auto"/>
        </w:rPr>
      </w:pPr>
    </w:p>
    <w:p>
      <w:pPr>
        <w:ind w:left="2984"/>
        <w:spacing w:after="0"/>
        <w:rPr>
          <w:sz w:val="20"/>
          <w:szCs w:val="20"/>
          <w:color w:val="auto"/>
        </w:rPr>
      </w:pPr>
      <w:r>
        <w:rPr>
          <w:rFonts w:ascii="Times New Roman" w:cs="Times New Roman" w:eastAsia="Times New Roman" w:hAnsi="Times New Roman"/>
          <w:sz w:val="18"/>
          <w:szCs w:val="18"/>
          <w:color w:val="auto"/>
        </w:rPr>
        <w:t>INITIAL PRINCIPAL AMOUNT OF THIS GLOBAL NOTE: $[___]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96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3020" w:type="dxa"/>
            <w:vAlign w:val="bottom"/>
            <w:gridSpan w:val="2"/>
            <w:vMerge w:val="restart"/>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960" w:type="dxa"/>
            <w:vAlign w:val="bottom"/>
            <w:gridSpan w:val="2"/>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302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960" w:type="dxa"/>
            <w:vAlign w:val="bottom"/>
            <w:gridSpan w:val="2"/>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3020" w:type="dxa"/>
            <w:vAlign w:val="bottom"/>
            <w:gridSpan w:val="2"/>
          </w:tcPr>
          <w:p>
            <w:pPr>
              <w:jc w:val="center"/>
              <w:ind w:right="174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960" w:type="dxa"/>
            <w:vAlign w:val="bottom"/>
            <w:gridSpan w:val="2"/>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20" w:type="dxa"/>
            <w:vAlign w:val="bottom"/>
            <w:gridSpan w:val="2"/>
          </w:tcPr>
          <w:p>
            <w:pPr>
              <w:jc w:val="center"/>
              <w:ind w:right="1760"/>
              <w:spacing w:after="0" w:line="149" w:lineRule="exact"/>
              <w:rPr>
                <w:sz w:val="20"/>
                <w:szCs w:val="20"/>
                <w:color w:val="auto"/>
              </w:rPr>
            </w:pPr>
            <w:r>
              <w:rPr>
                <w:rFonts w:ascii="Times New Roman" w:cs="Times New Roman" w:eastAsia="Times New Roman" w:hAnsi="Times New Roman"/>
                <w:sz w:val="14"/>
                <w:szCs w:val="14"/>
                <w:b w:val="1"/>
                <w:bCs w:val="1"/>
                <w:color w:val="auto"/>
              </w:rPr>
              <w:t>After Such Increase</w:t>
            </w: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73"/>
        </w:trPr>
        <w:tc>
          <w:tcPr>
            <w:tcW w:w="3740" w:type="dxa"/>
            <w:vAlign w:val="bottom"/>
            <w:gridSpan w:val="3"/>
            <w:vMerge w:val="continue"/>
          </w:tcPr>
          <w:p>
            <w:pPr>
              <w:spacing w:after="0"/>
              <w:rPr>
                <w:sz w:val="15"/>
                <w:szCs w:val="15"/>
                <w:color w:val="auto"/>
              </w:rPr>
            </w:pPr>
          </w:p>
        </w:tc>
        <w:tc>
          <w:tcPr>
            <w:tcW w:w="296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this Global Note</w:t>
            </w:r>
          </w:p>
        </w:tc>
        <w:tc>
          <w:tcPr>
            <w:tcW w:w="302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Signatory of Trustee</w:t>
            </w:r>
          </w:p>
        </w:tc>
        <w:tc>
          <w:tcPr>
            <w:tcW w:w="0" w:type="dxa"/>
            <w:vAlign w:val="bottom"/>
          </w:tcPr>
          <w:p>
            <w:pPr>
              <w:spacing w:after="0"/>
              <w:rPr>
                <w:sz w:val="1"/>
                <w:szCs w:val="1"/>
                <w:color w:val="auto"/>
              </w:rPr>
            </w:pPr>
          </w:p>
        </w:tc>
      </w:tr>
      <w:tr>
        <w:trPr>
          <w:trHeight w:val="196"/>
        </w:trPr>
        <w:tc>
          <w:tcPr>
            <w:tcW w:w="1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2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1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Global Notes only.</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24"/>
          </w:cols>
          <w:pgMar w:left="436" w:top="266" w:right="439" w:bottom="1440" w:gutter="0" w:footer="0" w:header="0"/>
        </w:sectPr>
      </w:pPr>
    </w:p>
    <w:bookmarkStart w:id="107" w:name="page108"/>
    <w:bookmarkEnd w:id="107"/>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NOTICE</w:t>
      </w:r>
    </w:p>
    <w:p>
      <w:pPr>
        <w:spacing w:after="0" w:line="220"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22"/>
          <w:szCs w:val="22"/>
          <w:color w:val="auto"/>
        </w:rPr>
        <w:t>ADAPTIVE BIOTECHNOLOGIES CORPORATION</w:t>
      </w:r>
    </w:p>
    <w:p>
      <w:pPr>
        <w:spacing w:after="0" w:line="215"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0% Convertible Senior Notes due 2031</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Conversion Notice, the undersigned Holder of the Note identified below directs the Company to Convert (check one):</w:t>
      </w:r>
    </w:p>
    <w:p>
      <w:pPr>
        <w:spacing w:after="0" w:line="67" w:lineRule="exact"/>
        <w:rPr>
          <w:sz w:val="20"/>
          <w:szCs w:val="20"/>
          <w:color w:val="auto"/>
        </w:rPr>
      </w:pPr>
    </w:p>
    <w:p>
      <w:pPr>
        <w:ind w:left="424" w:hanging="424"/>
        <w:spacing w:after="0"/>
        <w:tabs>
          <w:tab w:leader="none" w:pos="424" w:val="left"/>
        </w:tabs>
        <w:numPr>
          <w:ilvl w:val="0"/>
          <w:numId w:val="1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-66040</wp:posOffset>
            </wp:positionV>
            <wp:extent cx="4572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3" w:lineRule="exact"/>
        <w:rPr>
          <w:sz w:val="20"/>
          <w:szCs w:val="20"/>
          <w:color w:val="auto"/>
        </w:rPr>
      </w:pPr>
    </w:p>
    <w:p>
      <w:pPr>
        <w:ind w:left="4"/>
        <w:spacing w:after="0"/>
        <w:tabs>
          <w:tab w:leader="none" w:pos="3224" w:val="left"/>
          <w:tab w:leader="none" w:pos="5404" w:val="left"/>
        </w:tabs>
        <w:rPr>
          <w:sz w:val="20"/>
          <w:szCs w:val="20"/>
          <w:color w:val="auto"/>
        </w:rPr>
      </w:pPr>
      <w:r>
        <w:rPr>
          <w:rFonts w:ascii="Times New Roman" w:cs="Times New Roman" w:eastAsia="Times New Roman" w:hAnsi="Times New Roman"/>
          <w:sz w:val="18"/>
          <w:szCs w:val="18"/>
          <w:color w:val="auto"/>
        </w:rPr>
        <w:t xml:space="preserve">the Note identified by CUSIP No.           </w:t>
        <w:tab/>
        <w:t xml:space="preserve">and Certificate No.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-7620</wp:posOffset>
            </wp:positionV>
            <wp:extent cx="4572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-7620</wp:posOffset>
            </wp:positionV>
            <wp:extent cx="4572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an Interest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26035</wp:posOffset>
            </wp:positionV>
            <wp:extent cx="34201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-7620</wp:posOffset>
            </wp:positionV>
            <wp:extent cx="8001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57" w:lineRule="exact"/>
        <w:rPr>
          <w:sz w:val="20"/>
          <w:szCs w:val="20"/>
          <w:color w:val="auto"/>
        </w:rPr>
      </w:pPr>
    </w:p>
    <w:p>
      <w:pPr>
        <w:ind w:left="744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66"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154305</wp:posOffset>
            </wp:positionV>
            <wp:extent cx="34201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47"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776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an Authorized Denomination.</w:t>
      </w:r>
    </w:p>
    <w:p>
      <w:pPr>
        <w:spacing w:after="0" w:line="130"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824"/>
          </w:cols>
          <w:pgMar w:left="436" w:top="266" w:right="639" w:bottom="1440" w:gutter="0" w:footer="0" w:header="0"/>
        </w:sectPr>
      </w:pPr>
    </w:p>
    <w:bookmarkStart w:id="108" w:name="page109"/>
    <w:bookmarkEnd w:id="108"/>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CHANGE REPURCHASE NOTICE</w:t>
      </w:r>
    </w:p>
    <w:p>
      <w:pPr>
        <w:spacing w:after="0" w:line="220"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22"/>
          <w:szCs w:val="22"/>
          <w:color w:val="auto"/>
        </w:rPr>
        <w:t>ADAPTIVE BIOTECHNOLOGIES CORPORATION</w:t>
      </w:r>
    </w:p>
    <w:p>
      <w:pPr>
        <w:spacing w:after="0" w:line="215"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color w:val="auto"/>
        </w:rPr>
        <w:t>0% Convertible Senior Notes due 2031</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67" w:lineRule="exact"/>
        <w:rPr>
          <w:sz w:val="20"/>
          <w:szCs w:val="20"/>
          <w:color w:val="auto"/>
        </w:rPr>
      </w:pPr>
    </w:p>
    <w:p>
      <w:pPr>
        <w:ind w:left="424" w:hanging="424"/>
        <w:spacing w:after="0"/>
        <w:tabs>
          <w:tab w:leader="none" w:pos="424" w:val="left"/>
        </w:tabs>
        <w:numPr>
          <w:ilvl w:val="0"/>
          <w:numId w:val="1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-66040</wp:posOffset>
            </wp:positionV>
            <wp:extent cx="4572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3" w:lineRule="exact"/>
        <w:rPr>
          <w:sz w:val="20"/>
          <w:szCs w:val="20"/>
          <w:color w:val="auto"/>
        </w:rPr>
      </w:pPr>
    </w:p>
    <w:p>
      <w:pPr>
        <w:ind w:left="4"/>
        <w:spacing w:after="0"/>
        <w:tabs>
          <w:tab w:leader="none" w:pos="3224" w:val="left"/>
        </w:tabs>
        <w:rPr>
          <w:sz w:val="20"/>
          <w:szCs w:val="20"/>
          <w:color w:val="auto"/>
        </w:rPr>
      </w:pPr>
      <w:r>
        <w:rPr>
          <w:rFonts w:ascii="Times New Roman" w:cs="Times New Roman" w:eastAsia="Times New Roman" w:hAnsi="Times New Roman"/>
          <w:sz w:val="18"/>
          <w:szCs w:val="18"/>
          <w:color w:val="auto"/>
        </w:rPr>
        <w:t xml:space="preserve">the Note identified by CUSIP No.           </w:t>
        <w:tab/>
        <w:t>and Certificate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-7620</wp:posOffset>
            </wp:positionV>
            <wp:extent cx="4572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-7620</wp:posOffset>
            </wp:positionV>
            <wp:extent cx="457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Fundamental Change Repurchase Price will be paid.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26035</wp:posOffset>
            </wp:positionV>
            <wp:extent cx="34201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-7620</wp:posOffset>
            </wp:positionV>
            <wp:extent cx="8001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57" w:lineRule="exact"/>
        <w:rPr>
          <w:sz w:val="20"/>
          <w:szCs w:val="20"/>
          <w:color w:val="auto"/>
        </w:rPr>
      </w:pPr>
    </w:p>
    <w:p>
      <w:pPr>
        <w:ind w:left="744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66"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154305</wp:posOffset>
            </wp:positionV>
            <wp:extent cx="34201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47"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776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an Authorized Denomination.</w:t>
      </w:r>
    </w:p>
    <w:p>
      <w:pPr>
        <w:spacing w:after="0" w:line="130"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644"/>
          </w:cols>
          <w:pgMar w:left="436" w:top="266" w:right="819" w:bottom="1440" w:gutter="0" w:footer="0" w:header="0"/>
        </w:sectPr>
      </w:pPr>
    </w:p>
    <w:bookmarkStart w:id="109" w:name="page110"/>
    <w:bookmarkEnd w:id="109"/>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22"/>
          <w:szCs w:val="22"/>
          <w:color w:val="auto"/>
        </w:rPr>
        <w:t>ADAPTIVE BIOTECHNOLOGIES CORPORATION</w:t>
      </w:r>
    </w:p>
    <w:p>
      <w:pPr>
        <w:spacing w:after="0" w:line="215" w:lineRule="exact"/>
        <w:rPr>
          <w:sz w:val="20"/>
          <w:szCs w:val="20"/>
          <w:color w:val="auto"/>
        </w:rPr>
      </w:pPr>
    </w:p>
    <w:p>
      <w:pPr>
        <w:ind w:left="4104"/>
        <w:spacing w:after="0"/>
        <w:rPr>
          <w:sz w:val="20"/>
          <w:szCs w:val="20"/>
          <w:color w:val="auto"/>
        </w:rPr>
      </w:pPr>
      <w:r>
        <w:rPr>
          <w:rFonts w:ascii="Times New Roman" w:cs="Times New Roman" w:eastAsia="Times New Roman" w:hAnsi="Times New Roman"/>
          <w:sz w:val="18"/>
          <w:szCs w:val="18"/>
          <w:color w:val="auto"/>
        </w:rPr>
        <w:t>0% Convertible Senior Notes due 2031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Note identified below assigns (check one):</w:t>
      </w:r>
    </w:p>
    <w:p>
      <w:pPr>
        <w:spacing w:after="0" w:line="131" w:lineRule="exact"/>
        <w:rPr>
          <w:sz w:val="20"/>
          <w:szCs w:val="20"/>
          <w:color w:val="auto"/>
        </w:rPr>
      </w:pPr>
    </w:p>
    <w:p>
      <w:pPr>
        <w:ind w:left="424" w:hanging="424"/>
        <w:spacing w:after="0"/>
        <w:tabs>
          <w:tab w:leader="none" w:pos="424" w:val="left"/>
        </w:tabs>
        <w:numPr>
          <w:ilvl w:val="0"/>
          <w:numId w:val="1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-66040</wp:posOffset>
            </wp:positionV>
            <wp:extent cx="4572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3" w:lineRule="exact"/>
        <w:rPr>
          <w:sz w:val="20"/>
          <w:szCs w:val="20"/>
          <w:color w:val="auto"/>
        </w:rPr>
      </w:pPr>
    </w:p>
    <w:p>
      <w:pPr>
        <w:ind w:left="4"/>
        <w:spacing w:after="0"/>
        <w:tabs>
          <w:tab w:leader="none" w:pos="3224" w:val="left"/>
        </w:tabs>
        <w:rPr>
          <w:sz w:val="20"/>
          <w:szCs w:val="20"/>
          <w:color w:val="auto"/>
        </w:rPr>
      </w:pPr>
      <w:r>
        <w:rPr>
          <w:rFonts w:ascii="Times New Roman" w:cs="Times New Roman" w:eastAsia="Times New Roman" w:hAnsi="Times New Roman"/>
          <w:sz w:val="18"/>
          <w:szCs w:val="18"/>
          <w:color w:val="auto"/>
        </w:rPr>
        <w:t xml:space="preserve">the Note identified by CUSIP No.           </w:t>
        <w:tab/>
        <w:t>and Certificate No.             , and all rights thereunder,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-7620</wp:posOffset>
            </wp:positionV>
            <wp:extent cx="4572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-7620</wp:posOffset>
            </wp:positionV>
            <wp:extent cx="4572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17145</wp:posOffset>
            </wp:positionV>
            <wp:extent cx="4963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17145</wp:posOffset>
            </wp:positionV>
            <wp:extent cx="4963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Social security or 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17145</wp:posOffset>
            </wp:positionV>
            <wp:extent cx="4963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17145</wp:posOffset>
            </wp:positionV>
            <wp:extent cx="4963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26035</wp:posOffset>
            </wp:positionV>
            <wp:extent cx="34201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-7620</wp:posOffset>
            </wp:positionV>
            <wp:extent cx="8001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57" w:lineRule="exact"/>
        <w:rPr>
          <w:sz w:val="20"/>
          <w:szCs w:val="20"/>
          <w:color w:val="auto"/>
        </w:rPr>
      </w:pPr>
    </w:p>
    <w:p>
      <w:pPr>
        <w:ind w:left="744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66"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154305</wp:posOffset>
            </wp:positionV>
            <wp:extent cx="34201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color w:val="auto"/>
        </w:rPr>
        <w:t>Participant in a Recognized Signature</w:t>
      </w:r>
    </w:p>
    <w:p>
      <w:pPr>
        <w:spacing w:after="0" w:line="3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47"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776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an Authorized Denomination.</w:t>
      </w:r>
    </w:p>
    <w:p>
      <w:pPr>
        <w:spacing w:after="0" w:line="13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023"/>
          </w:cols>
          <w:pgMar w:left="436" w:top="266" w:right="1440" w:bottom="1440" w:gutter="0" w:footer="0" w:header="0"/>
        </w:sectPr>
      </w:pPr>
    </w:p>
    <w:bookmarkStart w:id="110" w:name="page111"/>
    <w:bookmarkEnd w:id="110"/>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TRANSFEROR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90" w:lineRule="exact"/>
        <w:rPr>
          <w:sz w:val="20"/>
          <w:szCs w:val="20"/>
          <w:color w:val="auto"/>
        </w:rPr>
      </w:pPr>
    </w:p>
    <w:p>
      <w:pPr>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1. 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Such Transfer is being made to the Company or a Subsidiary of the Company.</w:t>
      </w:r>
    </w:p>
    <w:p>
      <w:pPr>
        <w:spacing w:after="0" w:line="131" w:lineRule="exact"/>
        <w:rPr>
          <w:sz w:val="20"/>
          <w:szCs w:val="20"/>
          <w:color w:val="auto"/>
        </w:rPr>
      </w:pPr>
    </w:p>
    <w:p>
      <w:pPr>
        <w:ind w:left="540" w:right="20" w:hanging="539"/>
        <w:spacing w:after="0" w:line="226" w:lineRule="exact"/>
        <w:tabs>
          <w:tab w:leader="none" w:pos="520" w:val="left"/>
        </w:tabs>
        <w:rPr>
          <w:sz w:val="20"/>
          <w:szCs w:val="20"/>
          <w:color w:val="auto"/>
        </w:rPr>
      </w:pPr>
      <w:r>
        <w:rPr>
          <w:rFonts w:ascii="Times New Roman" w:cs="Times New Roman" w:eastAsia="Times New Roman" w:hAnsi="Times New Roman"/>
          <w:sz w:val="18"/>
          <w:szCs w:val="18"/>
          <w:color w:val="auto"/>
        </w:rPr>
        <w:t>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Such Transfer is being made pursuant to, and in accordance with, a registration statement that is effective under the Securities Act at the time of the Transfer.</w:t>
      </w:r>
    </w:p>
    <w:p>
      <w:pPr>
        <w:spacing w:after="0" w:line="103" w:lineRule="exact"/>
        <w:rPr>
          <w:sz w:val="20"/>
          <w:szCs w:val="20"/>
          <w:color w:val="auto"/>
        </w:rPr>
      </w:pPr>
    </w:p>
    <w:p>
      <w:pPr>
        <w:ind w:left="540" w:hanging="539"/>
        <w:spacing w:after="0" w:line="219" w:lineRule="exact"/>
        <w:tabs>
          <w:tab w:leader="none" w:pos="520" w:val="left"/>
        </w:tabs>
        <w:rPr>
          <w:sz w:val="20"/>
          <w:szCs w:val="20"/>
          <w:color w:val="auto"/>
        </w:rPr>
      </w:pPr>
      <w:r>
        <w:rPr>
          <w:rFonts w:ascii="Times New Roman" w:cs="Times New Roman" w:eastAsia="Times New Roman" w:hAnsi="Times New Roman"/>
          <w:sz w:val="18"/>
          <w:szCs w:val="18"/>
          <w:color w:val="auto"/>
        </w:rPr>
        <w:t>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 </w:t>
      </w:r>
      <w:r>
        <w:rPr>
          <w:rFonts w:ascii="Times New Roman" w:cs="Times New Roman" w:eastAsia="Times New Roman" w:hAnsi="Times New Roman"/>
          <w:sz w:val="18"/>
          <w:szCs w:val="18"/>
          <w:b w:val="1"/>
          <w:bCs w:val="1"/>
          <w:color w:val="auto"/>
        </w:rPr>
        <w:t>If this item is checked, then the transferee must complete and execute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acknowledgment contained on the next page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540" w:right="480" w:hanging="539"/>
        <w:spacing w:after="0" w:line="226" w:lineRule="exact"/>
        <w:tabs>
          <w:tab w:leader="none" w:pos="520" w:val="left"/>
        </w:tabs>
        <w:rPr>
          <w:sz w:val="20"/>
          <w:szCs w:val="20"/>
          <w:color w:val="auto"/>
        </w:rPr>
      </w:pPr>
      <w:r>
        <w:rPr>
          <w:rFonts w:ascii="Times New Roman" w:cs="Times New Roman" w:eastAsia="Times New Roman" w:hAnsi="Times New Roman"/>
          <w:sz w:val="18"/>
          <w:szCs w:val="18"/>
          <w:color w:val="auto"/>
        </w:rPr>
        <w:t>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Such Transfer is being made pursuant to, and in accordance with, any other available exemption from the registration requirements of the Securities Act (including, if available, the exemption provided by Rule 144 under the Securities 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00"/>
          </w:cols>
          <w:pgMar w:left="440" w:top="270" w:right="559" w:bottom="1440" w:gutter="0" w:footer="0" w:header="0"/>
        </w:sectPr>
      </w:pPr>
    </w:p>
    <w:bookmarkStart w:id="111" w:name="page112"/>
    <w:bookmarkEnd w:id="111"/>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TRANSFEREE ACKNOWLEDGMENT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Transferee)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00"/>
          </w:cols>
          <w:pgMar w:left="440" w:top="270" w:right="5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OF RESTRICTED NOTE LEGEND</w:t>
      </w:r>
    </w:p>
    <w:p>
      <w:pPr>
        <w:spacing w:after="0" w:line="225"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85" w:lineRule="exact"/>
        <w:rPr>
          <w:sz w:val="20"/>
          <w:szCs w:val="20"/>
          <w:color w:val="auto"/>
        </w:rPr>
      </w:pPr>
    </w:p>
    <w:p>
      <w:pPr>
        <w:ind w:left="544" w:right="300" w:hanging="544"/>
        <w:spacing w:after="0" w:line="266" w:lineRule="auto"/>
        <w:tabs>
          <w:tab w:leader="none" w:pos="5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81" w:lineRule="exact"/>
        <w:rPr>
          <w:rFonts w:ascii="Times New Roman" w:cs="Times New Roman" w:eastAsia="Times New Roman" w:hAnsi="Times New Roman"/>
          <w:sz w:val="18"/>
          <w:szCs w:val="18"/>
          <w:color w:val="auto"/>
        </w:rPr>
      </w:pPr>
    </w:p>
    <w:p>
      <w:pPr>
        <w:ind w:left="544" w:right="260" w:hanging="544"/>
        <w:spacing w:after="0" w:line="282" w:lineRule="auto"/>
        <w:tabs>
          <w:tab w:leader="none" w:pos="5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THE COMPANY THAT IT WILL NOT OFFER, SELL OR OTHERWISE TRANSFER THIS NOTE OR ANY BENEFICIAL INTEREST HEREIN, EXCEPT ONLY: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IS EFFECTIVE UNDER THE SECURITIES ACT;</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 OR</w:t>
      </w:r>
    </w:p>
    <w:p>
      <w:pPr>
        <w:spacing w:after="0" w:line="130" w:lineRule="exact"/>
        <w:rPr>
          <w:rFonts w:ascii="Times New Roman" w:cs="Times New Roman" w:eastAsia="Times New Roman" w:hAnsi="Times New Roman"/>
          <w:sz w:val="18"/>
          <w:szCs w:val="18"/>
          <w:color w:val="auto"/>
        </w:rPr>
      </w:pPr>
    </w:p>
    <w:p>
      <w:pPr>
        <w:ind w:left="964" w:right="760" w:hanging="532"/>
        <w:spacing w:after="0" w:line="282" w:lineRule="auto"/>
        <w:tabs>
          <w:tab w:leader="none" w:pos="96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(2)(C), (D)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r>
        <w:rPr>
          <w:rFonts w:ascii="Times New Roman" w:cs="Times New Roman" w:eastAsia="Times New Roman" w:hAnsi="Times New Roman"/>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 w:lineRule="exact"/>
        <w:rPr>
          <w:sz w:val="20"/>
          <w:szCs w:val="20"/>
          <w:color w:val="auto"/>
        </w:rPr>
      </w:pPr>
    </w:p>
    <w:p>
      <w:pPr>
        <w:ind w:left="424" w:right="740" w:hanging="424"/>
        <w:spacing w:after="0" w:line="208" w:lineRule="auto"/>
        <w:tabs>
          <w:tab w:leader="none" w:pos="424" w:val="left"/>
        </w:tabs>
        <w:numPr>
          <w:ilvl w:val="0"/>
          <w:numId w:val="17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024"/>
          </w:cols>
          <w:pgMar w:left="436" w:top="266"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GLOBAL NOTE LEGEND</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020"/>
          </w:cols>
          <w:pgMar w:left="440" w:top="266" w:right="4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NON-AFFILIATE LEGEND</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MAY PURCHASE OR OTHERWISE ACQUIRE THIS NOTE OR ANY BENEFICIAL INTEREST HEREIN.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020"/>
          </w:cols>
          <w:pgMar w:left="440" w:top="266" w:right="439" w:bottom="1440" w:gutter="0" w:footer="0" w:header="0"/>
        </w:sectPr>
      </w:pPr>
    </w:p>
    <w:bookmarkStart w:id="115" w:name="page116"/>
    <w:bookmarkEnd w:id="115"/>
    <w:p>
      <w:pPr>
        <w:ind w:left="10084"/>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[DEALER]</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ind w:left="9904"/>
        <w:spacing w:after="0"/>
        <w:rPr>
          <w:sz w:val="20"/>
          <w:szCs w:val="20"/>
          <w:color w:val="auto"/>
        </w:rPr>
      </w:pPr>
      <w:r>
        <w:rPr>
          <w:rFonts w:ascii="Times New Roman" w:cs="Times New Roman" w:eastAsia="Times New Roman" w:hAnsi="Times New Roman"/>
          <w:sz w:val="18"/>
          <w:szCs w:val="18"/>
          <w:color w:val="auto"/>
        </w:rPr>
        <w:t>[______], 2026</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Adaptive Biotechnologies Corporation</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1165 Eastlake Avenue East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Seattle, Washington 98109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Adaptive Biotechnologies Corporation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agrees that this Confirmation together with the Agreement evidence a complete binding agreement between Counterparty and Dealer as to the subject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matter and terms of the Transaction to which this Confirmation relates, and shall supersede all prior or contemporaneous written or oral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respect thereto.</w:t>
      </w:r>
    </w:p>
    <w:p>
      <w:pPr>
        <w:spacing w:after="0" w:line="203" w:lineRule="exact"/>
        <w:rPr>
          <w:sz w:val="20"/>
          <w:szCs w:val="20"/>
          <w:color w:val="auto"/>
        </w:rPr>
      </w:pPr>
    </w:p>
    <w:p>
      <w:pPr>
        <w:ind w:left="4" w:right="100" w:firstLine="440"/>
        <w:spacing w:after="0" w:line="237" w:lineRule="auto"/>
        <w:rPr>
          <w:sz w:val="20"/>
          <w:szCs w:val="20"/>
          <w:color w:val="auto"/>
        </w:rPr>
      </w:pPr>
      <w:r>
        <w:rPr>
          <w:rFonts w:ascii="Times New Roman" w:cs="Times New Roman" w:eastAsia="Times New Roman" w:hAnsi="Times New Roman"/>
          <w:sz w:val="17"/>
          <w:szCs w:val="17"/>
          <w:color w:val="auto"/>
        </w:rPr>
        <w:t>The definitions and provisions contained in the 2002 ISDA Equity Derivatives Definitions (the “</w:t>
      </w:r>
      <w:r>
        <w:rPr>
          <w:rFonts w:ascii="Times New Roman" w:cs="Times New Roman" w:eastAsia="Times New Roman" w:hAnsi="Times New Roman"/>
          <w:sz w:val="17"/>
          <w:szCs w:val="17"/>
          <w:b w:val="1"/>
          <w:bCs w:val="1"/>
          <w:color w:val="auto"/>
        </w:rPr>
        <w:t>Equity Definitions</w:t>
      </w:r>
      <w:r>
        <w:rPr>
          <w:rFonts w:ascii="Times New Roman" w:cs="Times New Roman" w:eastAsia="Times New Roman" w:hAnsi="Times New Roman"/>
          <w:sz w:val="17"/>
          <w:szCs w:val="17"/>
          <w:color w:val="auto"/>
        </w:rPr>
        <w:t>”), as published by the International Swaps and Derivatives Association, Inc. (“</w:t>
      </w:r>
      <w:r>
        <w:rPr>
          <w:rFonts w:ascii="Times New Roman" w:cs="Times New Roman" w:eastAsia="Times New Roman" w:hAnsi="Times New Roman"/>
          <w:sz w:val="17"/>
          <w:szCs w:val="17"/>
          <w:b w:val="1"/>
          <w:bCs w:val="1"/>
          <w:color w:val="auto"/>
        </w:rPr>
        <w:t>ISDA</w:t>
      </w:r>
      <w:r>
        <w:rPr>
          <w:rFonts w:ascii="Times New Roman" w:cs="Times New Roman" w:eastAsia="Times New Roman" w:hAnsi="Times New Roman"/>
          <w:sz w:val="17"/>
          <w:szCs w:val="17"/>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16, 2026 (the “</w:t>
      </w:r>
      <w:r>
        <w:rPr>
          <w:rFonts w:ascii="Times New Roman" w:cs="Times New Roman" w:eastAsia="Times New Roman" w:hAnsi="Times New Roman"/>
          <w:sz w:val="17"/>
          <w:szCs w:val="17"/>
          <w:b w:val="1"/>
          <w:bCs w:val="1"/>
          <w:color w:val="auto"/>
        </w:rPr>
        <w:t>Offering Memorandum</w:t>
      </w:r>
      <w:r>
        <w:rPr>
          <w:rFonts w:ascii="Times New Roman" w:cs="Times New Roman" w:eastAsia="Times New Roman" w:hAnsi="Times New Roman"/>
          <w:sz w:val="17"/>
          <w:szCs w:val="17"/>
          <w:color w:val="auto"/>
        </w:rPr>
        <w:t>”) relating to the 0.00% Convertible Senior Notes due 2031 (as originally issued by Counterparty, the “</w:t>
      </w:r>
      <w:r>
        <w:rPr>
          <w:rFonts w:ascii="Times New Roman" w:cs="Times New Roman" w:eastAsia="Times New Roman" w:hAnsi="Times New Roman"/>
          <w:sz w:val="17"/>
          <w:szCs w:val="17"/>
          <w:b w:val="1"/>
          <w:bCs w:val="1"/>
          <w:color w:val="auto"/>
        </w:rPr>
        <w:t>Convertible Notes</w:t>
      </w:r>
      <w:r>
        <w:rPr>
          <w:rFonts w:ascii="Times New Roman" w:cs="Times New Roman" w:eastAsia="Times New Roman" w:hAnsi="Times New Roman"/>
          <w:sz w:val="17"/>
          <w:szCs w:val="17"/>
          <w:color w:val="auto"/>
        </w:rPr>
        <w:t>” and each USD 1,000 principal amount of Convertible Notes, a “</w:t>
      </w:r>
      <w:r>
        <w:rPr>
          <w:rFonts w:ascii="Times New Roman" w:cs="Times New Roman" w:eastAsia="Times New Roman" w:hAnsi="Times New Roman"/>
          <w:sz w:val="17"/>
          <w:szCs w:val="17"/>
          <w:b w:val="1"/>
          <w:bCs w:val="1"/>
          <w:color w:val="auto"/>
        </w:rPr>
        <w:t>Convertible Note</w:t>
      </w:r>
      <w:r>
        <w:rPr>
          <w:rFonts w:ascii="Times New Roman" w:cs="Times New Roman" w:eastAsia="Times New Roman" w:hAnsi="Times New Roman"/>
          <w:sz w:val="17"/>
          <w:szCs w:val="17"/>
          <w:color w:val="auto"/>
        </w:rPr>
        <w:t>”) issued by Counterparty in an aggregate initial principal amount of USD 300,000,000 (as increased by [up to]</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an aggregate principal amount of USD 45,000,000 [if and to the extent that]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[pursuant to the exercise by]</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xml:space="preserve"> the Initial Purchasers (as defined herein) [exercise]</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[of]</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xml:space="preserve"> their option to purchase additional Convertible Notes pursuant to the Purchase Agreement (as defined herein)) pursuant to an Indenture [to be]</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xml:space="preserve"> dated June 22, 2026 between Counterparty and U.S. Bank Trust Company, National Association, as trustee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w:t>
      </w:r>
    </w:p>
    <w:p>
      <w:pPr>
        <w:spacing w:after="0" w:line="2" w:lineRule="exact"/>
        <w:rPr>
          <w:sz w:val="20"/>
          <w:szCs w:val="20"/>
          <w:color w:val="auto"/>
        </w:rPr>
      </w:pPr>
    </w:p>
    <w:p>
      <w:pPr>
        <w:ind w:left="4" w:right="20" w:hanging="4"/>
        <w:spacing w:after="0" w:line="250" w:lineRule="auto"/>
        <w:tabs>
          <w:tab w:leader="none" w:pos="26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and cross-references used herein are based on the [draft of the Indenture last reviewed by Dealer and Counterparty as of the date of this Confirmation, and if any such section numbers or cross-references are changed in the Indenture as executed, the parties will amend this Confirmation in good faith to preserve the intent of the parties]</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8.01(I) of the Indenture that, as determined by the Calculation Agent, conforms the Indenture to the “Description of Notes” section of the Offering Memorandum or</w:t>
      </w:r>
    </w:p>
    <w:p>
      <w:pPr>
        <w:spacing w:after="0" w:line="3" w:lineRule="exact"/>
        <w:rPr>
          <w:rFonts w:ascii="Times New Roman" w:cs="Times New Roman" w:eastAsia="Times New Roman" w:hAnsi="Times New Roman"/>
          <w:sz w:val="17"/>
          <w:szCs w:val="17"/>
          <w:color w:val="auto"/>
        </w:rPr>
      </w:pPr>
    </w:p>
    <w:p>
      <w:pPr>
        <w:ind w:left="4" w:right="120" w:hanging="4"/>
        <w:spacing w:after="0" w:line="255" w:lineRule="auto"/>
        <w:tabs>
          <w:tab w:leader="none" w:pos="25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5.09 of the Indenture, subject, in the case of this clause (y), to the second paragraph under “Method of Adjustment” in Section 3 of this Confirmation), any such amendment or supplement will be disregarded for purposes of this Confirmation unless the parties agree otherwise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715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3" w:lineRule="exact"/>
        <w:rPr>
          <w:sz w:val="20"/>
          <w:szCs w:val="20"/>
          <w:color w:val="auto"/>
        </w:rPr>
      </w:pPr>
    </w:p>
    <w:p>
      <w:pPr>
        <w:ind w:left="424" w:hanging="424"/>
        <w:spacing w:after="0"/>
        <w:tabs>
          <w:tab w:leader="none" w:pos="424" w:val="left"/>
        </w:tabs>
        <w:numPr>
          <w:ilvl w:val="0"/>
          <w:numId w:val="17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Dealer name, address and, if applicable, logo.</w:t>
      </w:r>
    </w:p>
    <w:p>
      <w:pPr>
        <w:ind w:left="424" w:hanging="424"/>
        <w:spacing w:after="0" w:line="180" w:lineRule="auto"/>
        <w:tabs>
          <w:tab w:leader="none" w:pos="424" w:val="left"/>
        </w:tabs>
        <w:numPr>
          <w:ilvl w:val="0"/>
          <w:numId w:val="1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1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18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Additional Call Option Confirmation.</w:t>
      </w:r>
    </w:p>
    <w:p>
      <w:pPr>
        <w:ind w:left="424" w:hanging="424"/>
        <w:spacing w:after="0" w:line="181" w:lineRule="auto"/>
        <w:tabs>
          <w:tab w:leader="none" w:pos="424" w:val="left"/>
        </w:tabs>
        <w:numPr>
          <w:ilvl w:val="0"/>
          <w:numId w:val="1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1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Additional Call Option Confirmation.</w:t>
      </w:r>
    </w:p>
    <w:p>
      <w:pPr>
        <w:ind w:left="424" w:hanging="424"/>
        <w:spacing w:after="0" w:line="180" w:lineRule="auto"/>
        <w:tabs>
          <w:tab w:leader="none" w:pos="424" w:val="left"/>
        </w:tabs>
        <w:numPr>
          <w:ilvl w:val="0"/>
          <w:numId w:val="1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if Indenture is not completed at the time of the Confirmation.</w:t>
      </w:r>
    </w:p>
    <w:p>
      <w:pPr>
        <w:ind w:left="424" w:hanging="424"/>
        <w:spacing w:after="0" w:line="181" w:lineRule="auto"/>
        <w:tabs>
          <w:tab w:leader="none" w:pos="424" w:val="left"/>
        </w:tabs>
        <w:numPr>
          <w:ilvl w:val="0"/>
          <w:numId w:val="18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 Include in the Additional Call Option Confirmation if it is executed before closing of the base deal.</w:t>
      </w:r>
    </w:p>
    <w:p>
      <w:pPr>
        <w:sectPr>
          <w:pgSz w:w="11900" w:h="16838" w:orient="portrait"/>
          <w:cols w:equalWidth="0" w:num="1">
            <w:col w:w="11024"/>
          </w:cols>
          <w:pgMar w:left="436" w:top="117" w:right="439" w:bottom="1440" w:gutter="0" w:footer="0" w:header="0"/>
        </w:sectPr>
      </w:pPr>
    </w:p>
    <w:bookmarkStart w:id="116" w:name="page117"/>
    <w:bookmarkEnd w:id="116"/>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left="4" w:right="340" w:hanging="4"/>
        <w:spacing w:after="0" w:line="270" w:lineRule="auto"/>
        <w:tabs>
          <w:tab w:leader="none" w:pos="184"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as if Dealer and Counterparty had executed an agreement in such form on the Trade Date (but without any Schedule except for (i) the election of the laws of the State of New York as the governing law (without reference to choice of law doctrine other than Sections</w:t>
      </w:r>
    </w:p>
    <w:p>
      <w:pPr>
        <w:spacing w:after="0" w:line="2" w:lineRule="exact"/>
        <w:rPr>
          <w:rFonts w:ascii="Times New Roman" w:cs="Times New Roman" w:eastAsia="Times New Roman" w:hAnsi="Times New Roman"/>
          <w:sz w:val="17"/>
          <w:szCs w:val="17"/>
          <w:color w:val="auto"/>
        </w:rPr>
      </w:pPr>
    </w:p>
    <w:p>
      <w:pPr>
        <w:ind w:left="4" w:right="26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5-1401 and 5-1402 of the General Obligations Law); (ii) the election of US Dollars as the Termination Currency; and (iii) the election that the “Cross Default” provisions of Section 5(a)(vi) of the Agreement shall apply to Dealer with a “Threshold Amount” of three percent of Dealer’s shareholders’ equity</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“Specified Indebtedness” shall not include obligations in respect of deposits received in the ordinary course of Dealer’s banking business, (B) the phrase “or becoming capable at such time of being declared” shall be deleted from clause (1) of such Section 5(a)(vi) and</w:t>
      </w:r>
    </w:p>
    <w:p>
      <w:pPr>
        <w:ind w:left="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the following language shall be added to the end of such Section 5(a)(vi):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p>
    <w:p>
      <w:pPr>
        <w:spacing w:after="0" w:line="18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The terms of the particular Transaction to which this Confirmation relates are as follows:</w:t>
      </w:r>
    </w:p>
    <w:p>
      <w:pPr>
        <w:spacing w:after="0" w:line="239"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General Terms</w:t>
            </w:r>
            <w:r>
              <w:rPr>
                <w:rFonts w:ascii="Times New Roman" w:cs="Times New Roman" w:eastAsia="Times New Roman" w:hAnsi="Times New Roman"/>
                <w:sz w:val="18"/>
                <w:szCs w:val="18"/>
                <w:color w:val="auto"/>
                <w:w w:val="97"/>
              </w:rPr>
              <w:t>.</w:t>
            </w:r>
          </w:p>
        </w:tc>
        <w:tc>
          <w:tcPr>
            <w:tcW w:w="1640" w:type="dxa"/>
            <w:vAlign w:val="bottom"/>
          </w:tcPr>
          <w:p>
            <w:pPr>
              <w:spacing w:after="0"/>
              <w:rPr>
                <w:sz w:val="17"/>
                <w:szCs w:val="17"/>
                <w:color w:val="auto"/>
              </w:rPr>
            </w:pPr>
          </w:p>
        </w:tc>
        <w:tc>
          <w:tcPr>
            <w:tcW w:w="7720" w:type="dxa"/>
            <w:vAlign w:val="bottom"/>
          </w:tcPr>
          <w:p>
            <w:pPr>
              <w:spacing w:after="0"/>
              <w:rPr>
                <w:sz w:val="17"/>
                <w:szCs w:val="17"/>
                <w:color w:val="auto"/>
              </w:rPr>
            </w:pPr>
          </w:p>
        </w:tc>
      </w:tr>
      <w:tr>
        <w:trPr>
          <w:trHeight w:val="345"/>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Date:</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[______], 2026</w:t>
            </w:r>
          </w:p>
        </w:tc>
      </w:tr>
      <w:tr>
        <w:trPr>
          <w:trHeight w:val="306"/>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Effective Date:</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The second Exchange Business Day immediately prior to the Premium Payment Date, subject</w:t>
            </w:r>
          </w:p>
        </w:tc>
      </w:tr>
      <w:tr>
        <w:trPr>
          <w:trHeight w:val="234"/>
        </w:trPr>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 Sections 9(v) and 9(bb) of this Confirmation.</w:t>
            </w:r>
          </w:p>
        </w:tc>
      </w:tr>
      <w:tr>
        <w:trPr>
          <w:trHeight w:val="324"/>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Style:</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“Modified American”, as described under “Procedures for Exercise” below.</w:t>
            </w:r>
          </w:p>
        </w:tc>
      </w:tr>
      <w:tr>
        <w:trPr>
          <w:trHeight w:val="324"/>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Type:</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Call</w:t>
            </w:r>
          </w:p>
        </w:tc>
      </w:tr>
      <w:tr>
        <w:trPr>
          <w:trHeight w:val="324"/>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Buyer:</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Counterparty</w:t>
            </w:r>
          </w:p>
        </w:tc>
      </w:tr>
      <w:tr>
        <w:trPr>
          <w:trHeight w:val="324"/>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Seller:</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Dealer</w:t>
            </w:r>
          </w:p>
        </w:tc>
      </w:tr>
      <w:tr>
        <w:trPr>
          <w:trHeight w:val="306"/>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common stock of Counterparty, par value USD 0.0001 per share (Exchange symbol</w:t>
            </w:r>
          </w:p>
        </w:tc>
      </w:tr>
      <w:tr>
        <w:trPr>
          <w:trHeight w:val="234"/>
        </w:trPr>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“ADPT”).</w:t>
            </w:r>
          </w:p>
        </w:tc>
      </w:tr>
      <w:tr>
        <w:trPr>
          <w:trHeight w:val="306"/>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Options:</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[_______]</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For the avoidance of doubt, the Number of Options shall be reduced by any</w:t>
            </w:r>
          </w:p>
        </w:tc>
      </w:tr>
      <w:tr>
        <w:trPr>
          <w:trHeight w:val="234"/>
        </w:trPr>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Options exercised by Counterparty. In no event will the Number of Options be less than zero.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160" w:hanging="424"/>
        <w:spacing w:after="0" w:line="208" w:lineRule="auto"/>
        <w:tabs>
          <w:tab w:leader="none" w:pos="424" w:val="left"/>
        </w:tabs>
        <w:numPr>
          <w:ilvl w:val="0"/>
          <w:numId w:val="1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include a customary guarantee if Dealer is not the highest rated entity in group. To be updated to reflect references to Dealer’s Credit Support Provider if a guarantee will be provided.</w:t>
      </w:r>
    </w:p>
    <w:p>
      <w:pPr>
        <w:spacing w:after="0" w:line="2" w:lineRule="exact"/>
        <w:rPr>
          <w:sz w:val="20"/>
          <w:szCs w:val="20"/>
          <w:color w:val="auto"/>
        </w:rPr>
      </w:pPr>
    </w:p>
    <w:p>
      <w:pPr>
        <w:ind w:left="424" w:hanging="424"/>
        <w:spacing w:after="0" w:line="214" w:lineRule="auto"/>
        <w:tabs>
          <w:tab w:leader="none" w:pos="424" w:val="left"/>
        </w:tabs>
        <w:numPr>
          <w:ilvl w:val="0"/>
          <w:numId w:val="1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Base Call Option Confirmation, this is equal to the number of Convertible Notes in principal amount of USD 1,000 initially issued on the closing date for the Convertible Notes. For the Additional Call Option Confirmation, this is equal to the number of additional Convertible Notes in principal amount of USD 1,000.</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17" w:name="page118"/>
    <w:bookmarkEnd w:id="117"/>
    <w:tbl>
      <w:tblPr>
        <w:tblLayout w:type="fixed"/>
        <w:tblInd w:w="444" w:type="dxa"/>
        <w:tblCellMar>
          <w:top w:w="0" w:type="dxa"/>
          <w:left w:w="0" w:type="dxa"/>
          <w:bottom w:w="0" w:type="dxa"/>
          <w:right w:w="0" w:type="dxa"/>
        </w:tblCellMar>
      </w:tblPr>
      <w:tr>
        <w:trPr>
          <w:trHeight w:val="23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Applicable Percentage: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[__]%</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Entitlement:</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41.4800.</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Strike Price: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USD 24.1080</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 Price: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USD 34.4400</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USD [______]</w:t>
            </w:r>
          </w:p>
        </w:tc>
      </w:tr>
      <w:tr>
        <w:trPr>
          <w:trHeight w:val="41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 Payment Date: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June 22, 2026</w:t>
            </w:r>
            <w:r>
              <w:rPr>
                <w:rFonts w:ascii="Times New Roman" w:cs="Times New Roman" w:eastAsia="Times New Roman" w:hAnsi="Times New Roman"/>
                <w:sz w:val="26"/>
                <w:szCs w:val="26"/>
                <w:color w:val="auto"/>
                <w:vertAlign w:val="superscript"/>
              </w:rPr>
              <w:t>11</w:t>
            </w:r>
          </w:p>
        </w:tc>
      </w:tr>
      <w:tr>
        <w:trPr>
          <w:trHeight w:val="23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306"/>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Exchange(s):</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 Equity Definitions shall be amended to add</w:t>
            </w:r>
          </w:p>
        </w:tc>
      </w:tr>
      <w:tr>
        <w:trPr>
          <w:trHeight w:val="234"/>
        </w:trPr>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words “United States” before the word “exchange” in the tenth line of that Section.</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Excluded Provisions:</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Section 5.06 and Section 5.07 of the Indenture.</w:t>
            </w:r>
          </w:p>
        </w:tc>
      </w:tr>
      <w:tr>
        <w:trPr>
          <w:trHeight w:val="283"/>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8"/>
              </w:rPr>
              <w:t>Procedures for Exercise</w:t>
            </w:r>
            <w:r>
              <w:rPr>
                <w:rFonts w:ascii="Times New Roman" w:cs="Times New Roman" w:eastAsia="Times New Roman" w:hAnsi="Times New Roman"/>
                <w:sz w:val="18"/>
                <w:szCs w:val="18"/>
                <w:color w:val="auto"/>
                <w:w w:val="98"/>
              </w:rPr>
              <w:t>.</w:t>
            </w:r>
          </w:p>
        </w:tc>
        <w:tc>
          <w:tcPr>
            <w:tcW w:w="116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326"/>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Conversion Date: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respect to any conversion of a Convertible Note (other than (x) any conversion of</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Convertible Notes with a Conversion Date occurring prior to the Free Convertibility Date or</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 any conversion of a Convertible Note in respect of which the “Holder” (as such term is</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defined in the Indenture) of such Convertible Note would be entitled to an increase in the</w:t>
            </w:r>
          </w:p>
        </w:tc>
      </w:tr>
      <w:tr>
        <w:trPr>
          <w:trHeight w:val="212"/>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Conversion Rate pursuant Section 5.07 of the Indenture (any such conversion described in</w:t>
            </w:r>
          </w:p>
        </w:tc>
      </w:tr>
      <w:tr>
        <w:trPr>
          <w:trHeight w:val="220"/>
        </w:trPr>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clause (x) or clause (y), an “</w:t>
            </w:r>
            <w:r>
              <w:rPr>
                <w:rFonts w:ascii="Times New Roman" w:cs="Times New Roman" w:eastAsia="Times New Roman" w:hAnsi="Times New Roman"/>
                <w:sz w:val="18"/>
                <w:szCs w:val="18"/>
                <w:b w:val="1"/>
                <w:bCs w:val="1"/>
                <w:color w:val="auto"/>
              </w:rPr>
              <w:t>Early Conversion</w:t>
            </w:r>
            <w:r>
              <w:rPr>
                <w:rFonts w:ascii="Times New Roman" w:cs="Times New Roman" w:eastAsia="Times New Roman" w:hAnsi="Times New Roman"/>
                <w:sz w:val="18"/>
                <w:szCs w:val="18"/>
                <w:color w:val="auto"/>
              </w:rPr>
              <w:t>”), to which the provisions of Section 9(i)(i) of</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this Confirmation shall apply), the date on which the “Holder” (as such term is defined in the</w:t>
            </w:r>
          </w:p>
        </w:tc>
      </w:tr>
      <w:tr>
        <w:trPr>
          <w:trHeight w:val="214"/>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Indenture) of such Convertible Note satisfies all of the requirements for conversion thereof as</w:t>
            </w:r>
          </w:p>
        </w:tc>
      </w:tr>
      <w:tr>
        <w:trPr>
          <w:trHeight w:val="218"/>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set forth in Section 5.02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has not delivered to</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Dealer a related Notice of Exercise, then in no event shall a Conversion Date be deemed to</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occur hereunder (and no Option shall be exercised or deemed to be exercised hereunder) with</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respect to any surrender of a Convertible Note for conversion in respect of which Counterparty</w:t>
            </w:r>
          </w:p>
        </w:tc>
      </w:tr>
      <w:tr>
        <w:trPr>
          <w:trHeight w:val="216"/>
        </w:trPr>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has elected to designate a financial institution for exchange in lieu of conversion of such</w:t>
            </w:r>
          </w:p>
        </w:tc>
      </w:tr>
      <w:tr>
        <w:trPr>
          <w:trHeight w:val="234"/>
        </w:trPr>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Convertible Note pursuant to Section 5.08 of the Indenture.</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Free Convertibility Date: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April 1, 2031</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Expiration Time: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July 1, 2031, subject to earlier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20" w:hanging="424"/>
        <w:spacing w:after="0" w:line="208" w:lineRule="auto"/>
        <w:tabs>
          <w:tab w:leader="none" w:pos="424" w:val="left"/>
        </w:tabs>
        <w:numPr>
          <w:ilvl w:val="0"/>
          <w:numId w:val="1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the closing date for the Convertible Notes (for the base transaction) and then the closing date for the exercise of the greenshoe option (for the additional transaction).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18" w:name="page119"/>
    <w:bookmarkEnd w:id="118"/>
    <w:p>
      <w:pPr>
        <w:ind w:left="804"/>
        <w:spacing w:after="0"/>
        <w:rPr>
          <w:sz w:val="20"/>
          <w:szCs w:val="20"/>
          <w:color w:val="auto"/>
        </w:rPr>
      </w:pPr>
      <w:r>
        <w:rPr>
          <w:rFonts w:ascii="Times New Roman" w:cs="Times New Roman" w:eastAsia="Times New Roman" w:hAnsi="Times New Roman"/>
          <w:sz w:val="18"/>
          <w:szCs w:val="18"/>
          <w:color w:val="auto"/>
        </w:rPr>
        <w:t>Multiple Exercise:</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Applicable, as described under “Automatic Exercise” and “Automatic Exercise of Remaining Repurchase Options After Free Convertibility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-391160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3444" w:space="720"/>
            <w:col w:w="6760"/>
          </w:cols>
          <w:pgMar w:left="436" w:top="270" w:right="539" w:bottom="1440" w:gutter="0" w:footer="0" w:header="0"/>
        </w:sectPr>
      </w:pPr>
    </w:p>
    <w:p>
      <w:pPr>
        <w:ind w:left="804"/>
        <w:spacing w:after="0"/>
        <w:rPr>
          <w:sz w:val="20"/>
          <w:szCs w:val="20"/>
          <w:color w:val="auto"/>
        </w:rPr>
      </w:pPr>
      <w:r>
        <w:rPr>
          <w:rFonts w:ascii="Times New Roman" w:cs="Times New Roman" w:eastAsia="Times New Roman" w:hAnsi="Times New Roman"/>
          <w:sz w:val="18"/>
          <w:szCs w:val="18"/>
          <w:color w:val="auto"/>
        </w:rPr>
        <w:t>Automatic Exercise:</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Notwithstanding Section 3.4 of the Equity Definitions, on each Conversion Date occurring on or after the Free Convertibility Date, in respect of which a notice of conversion under the Indenture that is effective as to Counterparty has been delivered by the relevant converting “Holder” (as defined in the Indenture), a number of Options equal to [(i)] the number of Convertible Notes in denominations of USD 1,000 as to which such Conversion Date has occurred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Options that are or are deemed to be automatically exercised on such Conversion Date under the Base Call Option Transaction Confirmation letter agreement dated June 16, 2026 between Dealer and Counterparty (the “</w:t>
      </w:r>
      <w:r>
        <w:rPr>
          <w:rFonts w:ascii="Times New Roman" w:cs="Times New Roman" w:eastAsia="Times New Roman" w:hAnsi="Times New Roman"/>
          <w:sz w:val="18"/>
          <w:szCs w:val="18"/>
          <w:b w:val="1"/>
          <w:bCs w:val="1"/>
          <w:color w:val="auto"/>
        </w:rPr>
        <w:t>Base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 Confirmation</w:t>
      </w:r>
      <w:r>
        <w:rPr>
          <w:rFonts w:ascii="Times New Roman" w:cs="Times New Roman" w:eastAsia="Times New Roman" w:hAnsi="Times New Roman"/>
          <w:sz w:val="18"/>
          <w:szCs w:val="18"/>
          <w:color w:val="auto"/>
        </w:rPr>
        <w:t>”) (and for the purposes of determining whether any Options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Confirmation or under the Base Call Option Confirmation will be automatically exercised hereunder or under the Base Call Option Confirmation, the Convertible Notes subject to conversion shall be allocated first to the Base Call Option Confirmation until all Options thereunder are exercised or terminated),]</w:t>
      </w:r>
      <w:r>
        <w:rPr>
          <w:rFonts w:ascii="Times New Roman" w:cs="Times New Roman" w:eastAsia="Times New Roman" w:hAnsi="Times New Roman"/>
          <w:sz w:val="13"/>
          <w:szCs w:val="13"/>
          <w:color w:val="auto"/>
        </w:rPr>
        <w:t>12</w:t>
      </w:r>
      <w:r>
        <w:rPr>
          <w:rFonts w:ascii="Times New Roman" w:cs="Times New Roman" w:eastAsia="Times New Roman" w:hAnsi="Times New Roman"/>
          <w:sz w:val="18"/>
          <w:szCs w:val="18"/>
          <w:color w:val="auto"/>
        </w:rPr>
        <w:t xml:space="preserve"> shall be deemed to be automatically exercised;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Options shall be exercised or deemed exercised only if Counterparty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a Notice of Exercise to Dealer in accordance with “Notice of Exercise” below (subject to “Automatic Exercise of Remaining Repurchase Options After Free Convertibility Date” below).</w:t>
      </w:r>
    </w:p>
    <w:p>
      <w:pPr>
        <w:spacing w:after="0" w:line="85" w:lineRule="exact"/>
        <w:rPr>
          <w:sz w:val="20"/>
          <w:szCs w:val="20"/>
          <w:color w:val="auto"/>
        </w:rPr>
      </w:pPr>
    </w:p>
    <w:p>
      <w:pPr>
        <w:sectPr>
          <w:pgSz w:w="11900" w:h="16838" w:orient="portrait"/>
          <w:cols w:equalWidth="0" w:num="2">
            <w:col w:w="3444" w:space="720"/>
            <w:col w:w="6760"/>
          </w:cols>
          <w:pgMar w:left="436" w:top="270" w:right="539" w:bottom="1440" w:gutter="0" w:footer="0" w:header="0"/>
          <w:type w:val="continuous"/>
        </w:sectPr>
      </w:pPr>
    </w:p>
    <w:p>
      <w:pPr>
        <w:ind w:left="4164" w:right="12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 exercised or deemed exercised hereunder exceed the Number of Options.</w:t>
      </w:r>
    </w:p>
    <w:p>
      <w:pPr>
        <w:sectPr>
          <w:pgSz w:w="11900" w:h="16838" w:orient="portrait"/>
          <w:cols w:equalWidth="0" w:num="1">
            <w:col w:w="10924"/>
          </w:cols>
          <w:pgMar w:left="436" w:top="270" w:right="539" w:bottom="1440" w:gutter="0" w:footer="0" w:header="0"/>
          <w:type w:val="continuous"/>
        </w:sectPr>
      </w:pPr>
    </w:p>
    <w:p>
      <w:pPr>
        <w:spacing w:after="0" w:line="54" w:lineRule="exact"/>
        <w:rPr>
          <w:sz w:val="20"/>
          <w:szCs w:val="20"/>
          <w:color w:val="auto"/>
        </w:rPr>
      </w:pPr>
    </w:p>
    <w:p>
      <w:pPr>
        <w:ind w:left="804" w:right="180"/>
        <w:spacing w:after="0" w:line="266" w:lineRule="auto"/>
        <w:rPr>
          <w:sz w:val="20"/>
          <w:szCs w:val="20"/>
          <w:color w:val="auto"/>
        </w:rPr>
      </w:pPr>
      <w:r>
        <w:rPr>
          <w:rFonts w:ascii="Times New Roman" w:cs="Times New Roman" w:eastAsia="Times New Roman" w:hAnsi="Times New Roman"/>
          <w:sz w:val="18"/>
          <w:szCs w:val="18"/>
          <w:color w:val="auto"/>
        </w:rPr>
        <w:t>Automatic Exercise of Remaining Repurchase Options After Free Convertibility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1040765</wp:posOffset>
            </wp:positionV>
            <wp:extent cx="7715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with respect to any Remaining Repurchase Options (as defined below), a number of Options equal to the lesser of (a) the Number of Options (after giving effect to the provisions opposite the caption “Automatic Exercise” above) as of 9:00 a.m. (New York City time) on the Expiration Date and (b) the Remaining Repurchase Options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Remaining Options (as defined in the Base Call Option Transaction Confirmation)]</w:t>
      </w:r>
      <w:r>
        <w:rPr>
          <w:rFonts w:ascii="Times New Roman" w:cs="Times New Roman" w:eastAsia="Times New Roman" w:hAnsi="Times New Roman"/>
          <w:sz w:val="13"/>
          <w:szCs w:val="13"/>
          <w:color w:val="auto"/>
        </w:rPr>
        <w:t>13</w:t>
      </w:r>
      <w:r>
        <w:rPr>
          <w:rFonts w:ascii="Times New Roman" w:cs="Times New Roman" w:eastAsia="Times New Roman" w:hAnsi="Times New Roman"/>
          <w:sz w:val="18"/>
          <w:szCs w:val="18"/>
          <w:color w:val="auto"/>
        </w:rPr>
        <w:t xml:space="preserve"> (such lesser number, the “</w:t>
      </w:r>
      <w:r>
        <w:rPr>
          <w:rFonts w:ascii="Times New Roman" w:cs="Times New Roman" w:eastAsia="Times New Roman" w:hAnsi="Times New Roman"/>
          <w:sz w:val="18"/>
          <w:szCs w:val="18"/>
          <w:b w:val="1"/>
          <w:bCs w:val="1"/>
          <w:color w:val="auto"/>
        </w:rPr>
        <w:t>Remaining Options</w:t>
      </w:r>
      <w:r>
        <w:rPr>
          <w:rFonts w:ascii="Times New Roman" w:cs="Times New Roman" w:eastAsia="Times New Roman" w:hAnsi="Times New Roman"/>
          <w:sz w:val="18"/>
          <w:szCs w:val="18"/>
          <w:color w:val="auto"/>
        </w:rPr>
        <w:t>”) will be deemed to be automatically exercised as if (i) a number of Convertible Notes (in denominations of</w:t>
      </w:r>
    </w:p>
    <w:p>
      <w:pPr>
        <w:spacing w:after="0" w:line="91" w:lineRule="exact"/>
        <w:rPr>
          <w:sz w:val="20"/>
          <w:szCs w:val="20"/>
          <w:color w:val="auto"/>
        </w:rPr>
      </w:pPr>
    </w:p>
    <w:p>
      <w:pPr>
        <w:sectPr>
          <w:pgSz w:w="11900" w:h="16838" w:orient="portrait"/>
          <w:cols w:equalWidth="0" w:num="2">
            <w:col w:w="3444" w:space="720"/>
            <w:col w:w="6760"/>
          </w:cols>
          <w:pgMar w:left="436" w:top="270" w:right="539" w:bottom="1440" w:gutter="0" w:footer="0" w:header="0"/>
          <w:type w:val="continuous"/>
        </w:sectPr>
      </w:pPr>
    </w:p>
    <w:p>
      <w:pPr>
        <w:ind w:left="424" w:hanging="424"/>
        <w:spacing w:after="0"/>
        <w:tabs>
          <w:tab w:leader="none" w:pos="424" w:val="left"/>
        </w:tabs>
        <w:numPr>
          <w:ilvl w:val="0"/>
          <w:numId w:val="1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Additional Call Option Confirmation only.</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8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for Additional Call Option Confirmation only.</w:t>
      </w:r>
    </w:p>
    <w:p>
      <w:pPr>
        <w:spacing w:after="0" w:line="1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24"/>
          </w:cols>
          <w:pgMar w:left="436" w:top="270" w:right="539" w:bottom="1440" w:gutter="0" w:footer="0" w:header="0"/>
          <w:type w:val="continuous"/>
        </w:sectPr>
      </w:pPr>
    </w:p>
    <w:bookmarkStart w:id="119" w:name="page120"/>
    <w:bookmarkEnd w:id="119"/>
    <w:p>
      <w:pPr>
        <w:ind w:left="41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USD 1,000 principal amount) equal to such number of Remaining Options were outstanding</w:t>
      </w:r>
    </w:p>
    <w:p>
      <w:pPr>
        <w:spacing w:after="0" w:line="27"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under the Indenture and were converted with a Conversion Date occurring on or after the Free</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Convertibility Date and (ii) the Notice of Final Settlement Method, if any, applied to such</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 xml:space="preserve">Convertible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exercise pursuant to this paragraph will</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occur if the Relevant Price for each Valid Day during the Settlement Averaging Period is less</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than or equal to the Strike Price. “</w:t>
      </w:r>
      <w:r>
        <w:rPr>
          <w:rFonts w:ascii="Times New Roman" w:cs="Times New Roman" w:eastAsia="Times New Roman" w:hAnsi="Times New Roman"/>
          <w:sz w:val="18"/>
          <w:szCs w:val="18"/>
          <w:b w:val="1"/>
          <w:bCs w:val="1"/>
          <w:color w:val="auto"/>
        </w:rPr>
        <w:t>Remaining Repurchase Options</w:t>
      </w:r>
      <w:r>
        <w:rPr>
          <w:rFonts w:ascii="Times New Roman" w:cs="Times New Roman" w:eastAsia="Times New Roman" w:hAnsi="Times New Roman"/>
          <w:sz w:val="18"/>
          <w:szCs w:val="18"/>
          <w:color w:val="auto"/>
        </w:rPr>
        <w:t>” shall mean the excess of</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(I) the aggregate number of Convertible Notes (in denominations of USD 1,000 principal</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amount) that were subject to Repayment Events (as defined below) (other than Repayment</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Events pursuant to the terms of the Indenture) described in clause (ii) of Section 9(i)(iv)</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Events</w:t>
      </w:r>
      <w:r>
        <w:rPr>
          <w:rFonts w:ascii="Times New Roman" w:cs="Times New Roman" w:eastAsia="Times New Roman" w:hAnsi="Times New Roman"/>
          <w:sz w:val="18"/>
          <w:szCs w:val="18"/>
          <w:color w:val="auto"/>
        </w:rPr>
        <w:t xml:space="preserve">”) during the term of the Transaction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aggregate number of</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Repayment Options (as defined below) that were terminated hereunder relating to Repurchase</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Events during the term of the Transaction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number of Repayment Options</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(as defined in the Base Call Option Transaction Confirmation) terminated under the Base Call</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7"/>
          <w:szCs w:val="17"/>
          <w:color w:val="auto"/>
        </w:rPr>
        <w:t>Option Transaction Confirmation relating to Repurchase Events (as defined therein) during the</w:t>
      </w:r>
    </w:p>
    <w:p>
      <w:pPr>
        <w:spacing w:after="0" w:line="21"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term of the “Transaction” under the Base Call Option Transaction Confirmation]</w:t>
      </w:r>
      <w:r>
        <w:rPr>
          <w:rFonts w:ascii="Times New Roman" w:cs="Times New Roman" w:eastAsia="Times New Roman" w:hAnsi="Times New Roman"/>
          <w:sz w:val="13"/>
          <w:szCs w:val="13"/>
          <w:color w:val="auto"/>
        </w:rPr>
        <w:t>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Counterparty shall notify Dealer in writing of the number of Remaining Repurchase Options</w:t>
      </w:r>
    </w:p>
    <w:p>
      <w:pPr>
        <w:spacing w:after="0" w:line="9"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7"/>
          <w:szCs w:val="17"/>
          <w:color w:val="auto"/>
        </w:rPr>
        <w:t>before 5:00 p.m. (New York City time) on the Scheduled Valid Day immediately preceding the</w:t>
      </w:r>
    </w:p>
    <w:p>
      <w:pPr>
        <w:spacing w:after="0" w:line="21" w:lineRule="exact"/>
        <w:rPr>
          <w:sz w:val="20"/>
          <w:szCs w:val="20"/>
          <w:color w:val="auto"/>
        </w:rPr>
      </w:pPr>
    </w:p>
    <w:p>
      <w:pPr>
        <w:ind w:left="4164"/>
        <w:spacing w:after="0"/>
        <w:rPr>
          <w:sz w:val="20"/>
          <w:szCs w:val="20"/>
          <w:color w:val="auto"/>
        </w:rPr>
      </w:pPr>
      <w:r>
        <w:rPr>
          <w:rFonts w:ascii="Times New Roman" w:cs="Times New Roman" w:eastAsia="Times New Roman" w:hAnsi="Times New Roman"/>
          <w:sz w:val="18"/>
          <w:szCs w:val="18"/>
          <w:color w:val="auto"/>
        </w:rPr>
        <w:t>Expiration Date.</w:t>
      </w:r>
    </w:p>
    <w:p>
      <w:pPr>
        <w:sectPr>
          <w:pgSz w:w="11900" w:h="16838" w:orient="portrait"/>
          <w:cols w:equalWidth="0" w:num="1">
            <w:col w:w="10984"/>
          </w:cols>
          <w:pgMar w:left="436" w:top="270" w:right="479" w:bottom="1440" w:gutter="0" w:footer="0" w:header="0"/>
        </w:sectPr>
      </w:pPr>
    </w:p>
    <w:p>
      <w:pPr>
        <w:spacing w:after="0" w:line="9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2032000</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Equity Definitions or under “Automatic Exercise” above, but subject to “Automatic Exercise of Remaining Repurchase Options After Free Convertibility Date” above, in order to exercise any Options upon a Conversion Date, Counterparty must notify Dealer in writing before 5:00 p.m. (New York City time) on the Scheduled Valid Day immediately preceding the Expiration Date specifying the number of such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such notice (and the related exercise of Options hereunder) shall be effective if given after the notice deadline specified above but prior to 5:00 p.m. (New York City time) on the fifth Exchange Business Day following such notice deadline, in which event the Calculation Agent shall have the right to adjust Dealer’s delivery obligation hereunder in good faith and in a commercially reasonable manner, with respect to the exercise of such Options, as appropriate to reflect the additional commercially reasonable costs and losses (limited to losses as a result of hedging mismatches and market losses) and expenses incurred by Dealer or any of its affiliates in connection with its hedging activities, with such adjustments made assuming that Dealer maintains commercially reasonable hedge positions (including the unwinding of any hedge</w:t>
      </w:r>
    </w:p>
    <w:p>
      <w:pPr>
        <w:spacing w:after="0" w:line="93" w:lineRule="exact"/>
        <w:rPr>
          <w:sz w:val="20"/>
          <w:szCs w:val="20"/>
          <w:color w:val="auto"/>
        </w:rPr>
      </w:pPr>
    </w:p>
    <w:p>
      <w:pPr>
        <w:sectPr>
          <w:pgSz w:w="11900" w:h="16838" w:orient="portrait"/>
          <w:cols w:equalWidth="0" w:num="2">
            <w:col w:w="3444" w:space="720"/>
            <w:col w:w="6820"/>
          </w:cols>
          <w:pgMar w:left="436" w:top="270" w:right="479" w:bottom="1440" w:gutter="0" w:footer="0" w:header="0"/>
          <w:type w:val="continuous"/>
        </w:sectPr>
      </w:pPr>
    </w:p>
    <w:p>
      <w:pPr>
        <w:ind w:left="424" w:hanging="424"/>
        <w:spacing w:after="0"/>
        <w:tabs>
          <w:tab w:leader="none" w:pos="424" w:val="left"/>
        </w:tabs>
        <w:numPr>
          <w:ilvl w:val="0"/>
          <w:numId w:val="1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Additional Call Option Confirmation only.</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84"/>
          </w:cols>
          <w:pgMar w:left="436" w:top="270" w:right="479" w:bottom="1440" w:gutter="0" w:footer="0" w:header="0"/>
          <w:type w:val="continuous"/>
        </w:sectPr>
      </w:pPr>
    </w:p>
    <w:bookmarkStart w:id="120" w:name="page121"/>
    <w:bookmarkEnd w:id="120"/>
    <w:p>
      <w:pPr>
        <w:ind w:left="33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position) as a result of it not having received such notice prior to such notice deadline (it being understood that the adjusted delivery obligation described in the preceding proviso can never be less than zero and can never require any payment by Counterparty);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Relevant Settlement Method for such Options is (x) Net Share Settlement and the Specified Cash Amount (as defined below) is not USD 1,000, (y) Cash Settlement or (z) Combination Settlement, Dealer shall have received a separate notice (the “</w:t>
      </w:r>
      <w:r>
        <w:rPr>
          <w:rFonts w:ascii="Times New Roman" w:cs="Times New Roman" w:eastAsia="Times New Roman" w:hAnsi="Times New Roman"/>
          <w:sz w:val="18"/>
          <w:szCs w:val="18"/>
          <w:b w:val="1"/>
          <w:bCs w:val="1"/>
          <w:color w:val="auto"/>
        </w:rPr>
        <w:t>Notice of Final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Method</w:t>
      </w:r>
      <w:r>
        <w:rPr>
          <w:rFonts w:ascii="Times New Roman" w:cs="Times New Roman" w:eastAsia="Times New Roman" w:hAnsi="Times New Roman"/>
          <w:sz w:val="18"/>
          <w:szCs w:val="18"/>
          <w:color w:val="auto"/>
        </w:rPr>
        <w:t>”) in respect of all such Convertible Notes before 5:00 p.m. (New York City time)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Free Convertibility Date specifying (1) the Relevant Settlement Method for such Options, and (2) if the settlement method for the related Convertible Notes is not Settlement in Cash or Settlement in Shares (each as defined below), the fixed amount of cash per Convertible Note that Counterparty has elected to deliver to “Holders” (as such term is defined in the Indenture) of the related Convertible Notes (the “</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 Notwithstanding anything to the contrary herein, if Counterparty does not timely deliver the Notice of Final Settlement Method, then the Notice of Final Settlement Method shall be deemed timely given and the Settlement Method specified therein shall be deemed to be Net Share Settlement. Counterparty acknowledges its responsibilities under applicable securities laws, and in particular Section 9 and Section 10(b) of the Exchange Act (as defined below) and the rules and regulations thereunder, in respect of any election (or any deemed election) of a settlement method with respect to the Convertible Notes.</w:t>
      </w:r>
    </w:p>
    <w:p>
      <w:pPr>
        <w:sectPr>
          <w:pgSz w:w="11900" w:h="16838" w:orient="portrait"/>
          <w:cols w:equalWidth="0" w:num="1">
            <w:col w:w="10220"/>
          </w:cols>
          <w:pgMar w:left="1240" w:top="270" w:right="43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Time: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 session is extended, the Calculation Agent shall determine the Valuation Time in its commercially reasonable discretion.</w:t>
      </w:r>
    </w:p>
    <w:p>
      <w:pPr>
        <w:spacing w:after="0" w:line="67" w:lineRule="exact"/>
        <w:rPr>
          <w:sz w:val="20"/>
          <w:szCs w:val="20"/>
          <w:color w:val="auto"/>
        </w:rPr>
      </w:pPr>
    </w:p>
    <w:p>
      <w:pPr>
        <w:sectPr>
          <w:pgSz w:w="11900" w:h="16838" w:orient="portrait"/>
          <w:cols w:equalWidth="0" w:num="2">
            <w:col w:w="2640" w:space="720"/>
            <w:col w:w="6860"/>
          </w:cols>
          <w:pgMar w:left="12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Market Disruption Event:</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Times New Roman" w:cs="Times New Roman" w:eastAsia="Times New Roman" w:hAnsi="Times New Roman"/>
          <w:sz w:val="17"/>
          <w:szCs w:val="17"/>
          <w:color w:val="auto"/>
        </w:rPr>
        <w:t xml:space="preserve">With respect to any date, (i) a failure by the principal U.S. national or regional securities exchange on which the Shares are then listed or, if the Shares are not then listed on a U.S. national or regional securities exchange, the principal other market on which the Shares are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in the Shares or in any options contracts or futures contracts relating to the Shares, and such suspension or limitation occurs or exists at any time before 1:00 p.m., New York City time, on such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restriction on trading imposed solely by Rule 201 of Regulation SHO promulgated under the Exchange Act (as in effect on the date of hereof) shall not constitute a Market Disruption Event.</w:t>
      </w:r>
    </w:p>
    <w:p>
      <w:pPr>
        <w:spacing w:after="0" w:line="114" w:lineRule="exact"/>
        <w:rPr>
          <w:sz w:val="20"/>
          <w:szCs w:val="20"/>
          <w:color w:val="auto"/>
        </w:rPr>
      </w:pPr>
    </w:p>
    <w:p>
      <w:pPr>
        <w:sectPr>
          <w:pgSz w:w="11900" w:h="16838" w:orient="portrait"/>
          <w:cols w:equalWidth="0" w:num="2">
            <w:col w:w="2640" w:space="720"/>
            <w:col w:w="6860"/>
          </w:cols>
          <w:pgMar w:left="1240" w:top="270" w:right="43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20"/>
          </w:cols>
          <w:pgMar w:left="1240" w:top="270" w:right="4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Settlement Terms.</w:t>
            </w:r>
          </w:p>
        </w:tc>
        <w:tc>
          <w:tcPr>
            <w:tcW w:w="1820" w:type="dxa"/>
            <w:vAlign w:val="bottom"/>
          </w:tcPr>
          <w:p>
            <w:pPr>
              <w:spacing w:after="0"/>
              <w:rPr>
                <w:sz w:val="17"/>
                <w:szCs w:val="17"/>
                <w:color w:val="auto"/>
              </w:rPr>
            </w:pPr>
          </w:p>
        </w:tc>
        <w:tc>
          <w:tcPr>
            <w:tcW w:w="7460" w:type="dxa"/>
            <w:vAlign w:val="bottom"/>
          </w:tcPr>
          <w:p>
            <w:pPr>
              <w:spacing w:after="0"/>
              <w:rPr>
                <w:sz w:val="17"/>
                <w:szCs w:val="17"/>
                <w:color w:val="auto"/>
              </w:rPr>
            </w:pPr>
          </w:p>
        </w:tc>
      </w:tr>
      <w:tr>
        <w:trPr>
          <w:trHeight w:val="326"/>
        </w:trPr>
        <w:tc>
          <w:tcPr>
            <w:tcW w:w="3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Method:</w:t>
            </w: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set</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forth below for such Option is not Net Share Settlement, then the Settlement Method for such</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 shall be such Relevant Settlement Method, but only if Counterparty shall have notified</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Dealer of the Relevant Settlement Method in the Notice of Final Settlement Method for such</w:t>
            </w:r>
          </w:p>
        </w:tc>
      </w:tr>
      <w:tr>
        <w:trPr>
          <w:trHeight w:val="234"/>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w:t>
            </w:r>
          </w:p>
        </w:tc>
      </w:tr>
      <w:tr>
        <w:trPr>
          <w:trHeight w:val="324"/>
        </w:trPr>
        <w:tc>
          <w:tcPr>
            <w:tcW w:w="3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Relevant Settlement Method:</w:t>
            </w: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 respect of any Option:</w:t>
            </w:r>
          </w:p>
        </w:tc>
      </w:tr>
      <w:tr>
        <w:trPr>
          <w:trHeight w:val="306"/>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   if Counterparty has elected to settle its conversion obligations in respect of the related</w:t>
            </w:r>
          </w:p>
        </w:tc>
      </w:tr>
      <w:tr>
        <w:trPr>
          <w:trHeight w:val="212"/>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Convertible Note (A) entirely in Shares pursuant to Section 5.03(B)(i)(1) of the Indenture</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(together with cash in lieu of fractional Shares) (such settlement method, “</w:t>
            </w:r>
            <w:r>
              <w:rPr>
                <w:rFonts w:ascii="Times New Roman" w:cs="Times New Roman" w:eastAsia="Times New Roman" w:hAnsi="Times New Roman"/>
                <w:sz w:val="18"/>
                <w:szCs w:val="18"/>
                <w:b w:val="1"/>
                <w:bCs w:val="1"/>
                <w:color w:val="auto"/>
              </w:rPr>
              <w:t>Settlement in</w:t>
            </w:r>
          </w:p>
        </w:tc>
      </w:tr>
      <w:tr>
        <w:trPr>
          <w:trHeight w:val="220"/>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(B) in a combination of cash and Shares pursuant to Section 5.03(B)(i)(3) of</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the Indenture with a Specified Cash Amount less than USD 1,000 or (C) in a combination</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of cash and Shares pursuant to Section 5.03(B)(i)(3) of the Indenture with a Specified</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Cash Amount equal to USD 1,000, then, in each case, the Relevant Settlement Method for</w:t>
            </w:r>
          </w:p>
        </w:tc>
      </w:tr>
      <w:tr>
        <w:trPr>
          <w:trHeight w:val="234"/>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such Option shall be Net Share Settlement;</w:t>
            </w:r>
          </w:p>
        </w:tc>
      </w:tr>
      <w:tr>
        <w:trPr>
          <w:trHeight w:val="306"/>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(ii)   if Counterparty has elected to settle its conversion obligations in respect of the related</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Convertible Note in a combination of cash and Shares pursuant to Section 5.03(B)(i)(3) of</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Indenture with a Specified Cash Amount greater than USD 1,000, then the Relevant</w:t>
            </w:r>
          </w:p>
        </w:tc>
      </w:tr>
      <w:tr>
        <w:trPr>
          <w:trHeight w:val="234"/>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 Method for such Option shall be Combination Settlement; and</w:t>
            </w:r>
          </w:p>
        </w:tc>
      </w:tr>
      <w:tr>
        <w:trPr>
          <w:trHeight w:val="306"/>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(iii)  if Counterparty has elected to settle its conversion obligations in respect of the related</w:t>
            </w:r>
          </w:p>
        </w:tc>
      </w:tr>
      <w:tr>
        <w:trPr>
          <w:trHeight w:val="212"/>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Convertible Note entirely in cash pursuant to Section 5.03(B)(i)(2) of the Indenture (such</w:t>
            </w:r>
          </w:p>
        </w:tc>
      </w:tr>
      <w:tr>
        <w:trPr>
          <w:trHeight w:val="220"/>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settlement method, “</w:t>
            </w:r>
            <w:r>
              <w:rPr>
                <w:rFonts w:ascii="Times New Roman" w:cs="Times New Roman" w:eastAsia="Times New Roman" w:hAnsi="Times New Roman"/>
                <w:sz w:val="18"/>
                <w:szCs w:val="18"/>
                <w:b w:val="1"/>
                <w:bCs w:val="1"/>
                <w:color w:val="auto"/>
                <w:w w:val="99"/>
              </w:rPr>
              <w:t>Settlement in Cash</w:t>
            </w:r>
            <w:r>
              <w:rPr>
                <w:rFonts w:ascii="Times New Roman" w:cs="Times New Roman" w:eastAsia="Times New Roman" w:hAnsi="Times New Roman"/>
                <w:sz w:val="18"/>
                <w:szCs w:val="18"/>
                <w:color w:val="auto"/>
                <w:w w:val="99"/>
              </w:rPr>
              <w:t>”), then the Relevant Settlement Method for such</w:t>
            </w:r>
          </w:p>
        </w:tc>
      </w:tr>
      <w:tr>
        <w:trPr>
          <w:trHeight w:val="234"/>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Option shall be Cash Settlement.</w:t>
            </w:r>
          </w:p>
        </w:tc>
      </w:tr>
      <w:tr>
        <w:trPr>
          <w:trHeight w:val="306"/>
        </w:trPr>
        <w:tc>
          <w:tcPr>
            <w:tcW w:w="3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Share Settlement:</w:t>
            </w: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If Net Share Settlement is applicable to any Option exercised or deemed exercised hereunder,</w:t>
            </w:r>
          </w:p>
        </w:tc>
      </w:tr>
      <w:tr>
        <w:trPr>
          <w:trHeight w:val="212"/>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Dealer will deliver to Counterparty, on the relevant Settlement Date for each such Option, a</w:t>
            </w:r>
          </w:p>
        </w:tc>
      </w:tr>
      <w:tr>
        <w:trPr>
          <w:trHeight w:val="220"/>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number of Shares (the “</w:t>
            </w:r>
            <w:r>
              <w:rPr>
                <w:rFonts w:ascii="Times New Roman" w:cs="Times New Roman" w:eastAsia="Times New Roman" w:hAnsi="Times New Roman"/>
                <w:sz w:val="18"/>
                <w:szCs w:val="18"/>
                <w:b w:val="1"/>
                <w:bCs w:val="1"/>
                <w:color w:val="auto"/>
                <w:w w:val="99"/>
              </w:rPr>
              <w:t>Net Share Settlement Amount</w:t>
            </w:r>
            <w:r>
              <w:rPr>
                <w:rFonts w:ascii="Times New Roman" w:cs="Times New Roman" w:eastAsia="Times New Roman" w:hAnsi="Times New Roman"/>
                <w:sz w:val="18"/>
                <w:szCs w:val="18"/>
                <w:color w:val="auto"/>
                <w:w w:val="99"/>
              </w:rPr>
              <w:t>”) equal to the sum, for each Valid Day</w:t>
            </w:r>
          </w:p>
        </w:tc>
      </w:tr>
      <w:tr>
        <w:trPr>
          <w:trHeight w:val="214"/>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during the Settlement Averaging Period for each such Option, of (i) (a) the Daily Option Value</w:t>
            </w: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w:t>
            </w:r>
          </w:p>
        </w:tc>
      </w:tr>
      <w:tr>
        <w:trPr>
          <w:trHeight w:val="218"/>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w:t>
            </w:r>
          </w:p>
        </w:tc>
      </w:tr>
      <w:tr>
        <w:trPr>
          <w:trHeight w:val="214"/>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Share Settlement Amount for any Option exceed a number of Shares equal to the</w:t>
            </w:r>
          </w:p>
        </w:tc>
      </w:tr>
      <w:tr>
        <w:trPr>
          <w:trHeight w:val="218"/>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 xml:space="preserve">Applicable Limit for such Option </w:t>
            </w:r>
            <w:r>
              <w:rPr>
                <w:rFonts w:ascii="Times New Roman" w:cs="Times New Roman" w:eastAsia="Times New Roman" w:hAnsi="Times New Roman"/>
                <w:sz w:val="18"/>
                <w:szCs w:val="18"/>
                <w:i w:val="1"/>
                <w:iCs w:val="1"/>
                <w:color w:val="auto"/>
                <w:w w:val="99"/>
              </w:rPr>
              <w:t>divided by</w:t>
            </w:r>
            <w:r>
              <w:rPr>
                <w:rFonts w:ascii="Times New Roman" w:cs="Times New Roman" w:eastAsia="Times New Roman" w:hAnsi="Times New Roman"/>
                <w:sz w:val="18"/>
                <w:szCs w:val="18"/>
                <w:color w:val="auto"/>
                <w:w w:val="99"/>
              </w:rPr>
              <w:t xml:space="preserve"> the Applicable Limit Price on the Settlement Date</w:t>
            </w:r>
          </w:p>
        </w:tc>
      </w:tr>
      <w:tr>
        <w:trPr>
          <w:trHeight w:val="234"/>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such Option.</w:t>
            </w:r>
          </w:p>
        </w:tc>
      </w:tr>
      <w:tr>
        <w:trPr>
          <w:trHeight w:val="365"/>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7</w:t>
            </w:r>
          </w:p>
        </w:tc>
      </w:tr>
    </w:tbl>
    <w:p>
      <w:pPr>
        <w:ind w:left="1920"/>
        <w:spacing w:after="0"/>
        <w:rPr>
          <w:sz w:val="20"/>
          <w:szCs w:val="20"/>
          <w:color w:val="auto"/>
        </w:rPr>
        <w:sectPr>
          <w:pgSz w:w="11900" w:h="16838" w:orient="portrait"/>
          <w:cols w:equalWidth="0" w:num="1">
            <w:col w:w="10560"/>
          </w:cols>
          <w:pgMar w:left="880" w:top="25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2" w:name="page123"/>
    <w:bookmarkEnd w:id="122"/>
    <w:p>
      <w:pPr>
        <w:ind w:left="336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Dealer will pay cash in lieu of delivering any fractional Shares to be delivered with respect to any Net Share Settlement Amount valued at the Relevant Price for the last Valid Day of the Settlement Averaging Period.</w:t>
      </w:r>
    </w:p>
    <w:p>
      <w:pPr>
        <w:sectPr>
          <w:pgSz w:w="11900" w:h="16838" w:orient="portrait"/>
          <w:cols w:equalWidth="0" w:num="1">
            <w:col w:w="10160"/>
          </w:cols>
          <w:pgMar w:left="1240" w:top="270" w:right="49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64" w:lineRule="exact"/>
        <w:rPr>
          <w:sz w:val="20"/>
          <w:szCs w:val="20"/>
          <w:color w:val="auto"/>
        </w:rPr>
      </w:pPr>
    </w:p>
    <w:p>
      <w:pPr>
        <w:sectPr>
          <w:pgSz w:w="11900" w:h="16838" w:orient="portrait"/>
          <w:cols w:equalWidth="0" w:num="2">
            <w:col w:w="2640" w:space="720"/>
            <w:col w:w="6800"/>
          </w:cols>
          <w:pgMar w:left="1240" w:top="270" w:right="499" w:bottom="1440" w:gutter="0" w:footer="0" w:header="0"/>
          <w:type w:val="continuous"/>
        </w:sectPr>
      </w:pP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Day during the Settlement Averaging Period for such Option, of (A) an amount (the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Combination Settlement Cash Amount</w:t>
      </w:r>
      <w:r>
        <w:rPr>
          <w:rFonts w:ascii="Times New Roman" w:cs="Times New Roman" w:eastAsia="Times New Roman" w:hAnsi="Times New Roman"/>
          <w:sz w:val="18"/>
          <w:szCs w:val="18"/>
          <w:color w:val="auto"/>
        </w:rPr>
        <w:t>”) equal to the lesser of (1) the product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of (x) the Applicable Percentage and (y) the Specified Cash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1,000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and (2)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clause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 above results in zero or a negative number for any Valid Day, the Daily Combination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Cash Amount for such Valid Day shall be deemed to be zero; and</w:t>
      </w:r>
    </w:p>
    <w:p>
      <w:pPr>
        <w:spacing w:after="0" w:line="95" w:lineRule="exact"/>
        <w:rPr>
          <w:sz w:val="20"/>
          <w:szCs w:val="20"/>
          <w:color w:val="auto"/>
        </w:rPr>
      </w:pPr>
    </w:p>
    <w:p>
      <w:pPr>
        <w:sectPr>
          <w:pgSz w:w="11900" w:h="16838" w:orient="portrait"/>
          <w:cols w:equalWidth="0" w:num="2">
            <w:col w:w="3560" w:space="140"/>
            <w:col w:w="6460"/>
          </w:cols>
          <w:pgMar w:left="1240" w:top="270" w:right="499" w:bottom="1440" w:gutter="0" w:footer="0" w:header="0"/>
          <w:type w:val="continuous"/>
        </w:sectPr>
      </w:pPr>
    </w:p>
    <w:p>
      <w:pPr>
        <w:ind w:left="3720" w:hanging="359"/>
        <w:spacing w:after="0" w:line="254" w:lineRule="auto"/>
        <w:rPr>
          <w:sz w:val="20"/>
          <w:szCs w:val="20"/>
          <w:color w:val="auto"/>
        </w:rPr>
      </w:pPr>
      <w:r>
        <w:rPr>
          <w:rFonts w:ascii="Times New Roman" w:cs="Times New Roman" w:eastAsia="Times New Roman" w:hAnsi="Times New Roman"/>
          <w:sz w:val="18"/>
          <w:szCs w:val="18"/>
          <w:color w:val="auto"/>
        </w:rPr>
        <w:t>(ii)   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 each Valid Day during the Settlement Averaging Period for such Option, of a number of Shares for such Valid Day (the “</w:t>
      </w:r>
      <w:r>
        <w:rPr>
          <w:rFonts w:ascii="Times New Roman" w:cs="Times New Roman" w:eastAsia="Times New Roman" w:hAnsi="Times New Roman"/>
          <w:sz w:val="18"/>
          <w:szCs w:val="18"/>
          <w:b w:val="1"/>
          <w:bCs w:val="1"/>
          <w:color w:val="auto"/>
        </w:rPr>
        <w:t>Daily Combination Settlement Share Amount</w:t>
      </w:r>
      <w:r>
        <w:rPr>
          <w:rFonts w:ascii="Times New Roman" w:cs="Times New Roman" w:eastAsia="Times New Roman" w:hAnsi="Times New Roman"/>
          <w:sz w:val="18"/>
          <w:szCs w:val="18"/>
          <w:color w:val="auto"/>
        </w:rPr>
        <w:t xml:space="preserve">”) equal to (A) (1) the Daily Option Value on such Valid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Daily Combination Settlement Cash Amount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Relevant Price on such Valid Day,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(B) the number of Valid Days in the Settlement Averaging Period;</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the calculation in sub-clause (A)(1) above results in zero or a negative number for any Valid Day, the Daily Combination Settlement Share Amount for such Valid Day shall be deemed to be zero;</w:t>
      </w:r>
    </w:p>
    <w:p>
      <w:pPr>
        <w:spacing w:after="0" w:line="82" w:lineRule="exact"/>
        <w:rPr>
          <w:sz w:val="20"/>
          <w:szCs w:val="20"/>
          <w:color w:val="auto"/>
        </w:rPr>
      </w:pPr>
    </w:p>
    <w:p>
      <w:pPr>
        <w:ind w:left="3360"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the sum of (x) the Combination Settlement Cash Amount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Option and (y) the Combination Settlement Share Amount for such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exceed the Applicable Limit for such Option.</w:t>
      </w:r>
    </w:p>
    <w:p>
      <w:pPr>
        <w:spacing w:after="0" w:line="74" w:lineRule="exact"/>
        <w:rPr>
          <w:sz w:val="20"/>
          <w:szCs w:val="20"/>
          <w:color w:val="auto"/>
        </w:rPr>
      </w:pPr>
    </w:p>
    <w:p>
      <w:pPr>
        <w:jc w:val="both"/>
        <w:ind w:left="3360" w:right="2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ectPr>
          <w:pgSz w:w="11900" w:h="16838" w:orient="portrait"/>
          <w:cols w:equalWidth="0" w:num="1">
            <w:col w:w="10160"/>
          </w:cols>
          <w:pgMar w:left="1240" w:top="270" w:right="49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Cash Settlement is applicable to any Option exercised or deemed exercised hereunder, in lieu of Section 8.1 of the Equity Definitions, Dealer will pay to Counterparty, on the relevant Settlement 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sum, for each Valid Day during the Settlement Averaging Period</w:t>
      </w:r>
    </w:p>
    <w:p>
      <w:pPr>
        <w:spacing w:after="0" w:line="112" w:lineRule="exact"/>
        <w:rPr>
          <w:sz w:val="20"/>
          <w:szCs w:val="20"/>
          <w:color w:val="auto"/>
        </w:rPr>
      </w:pPr>
    </w:p>
    <w:p>
      <w:pPr>
        <w:sectPr>
          <w:pgSz w:w="11900" w:h="16838" w:orient="portrait"/>
          <w:cols w:equalWidth="0" w:num="2">
            <w:col w:w="2640" w:space="720"/>
            <w:col w:w="6800"/>
          </w:cols>
          <w:pgMar w:left="1240" w:top="270" w:right="49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160"/>
          </w:cols>
          <w:pgMar w:left="1240" w:top="270" w:right="499" w:bottom="1440" w:gutter="0" w:footer="0" w:header="0"/>
          <w:type w:val="continuous"/>
        </w:sectPr>
      </w:pPr>
    </w:p>
    <w:bookmarkStart w:id="123" w:name="page124"/>
    <w:bookmarkEnd w:id="123"/>
    <w:p>
      <w:pPr>
        <w:ind w:left="33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such Option, of (i)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Cash Settlement Amount exceed the Applicable Limit for such Option.</w:t>
      </w:r>
    </w:p>
    <w:p>
      <w:pPr>
        <w:sectPr>
          <w:pgSz w:w="11900" w:h="16838" w:orient="portrait"/>
          <w:cols w:equalWidth="0" w:num="1">
            <w:col w:w="10180"/>
          </w:cols>
          <w:pgMar w:left="1240" w:top="268" w:right="47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Daily Option Value: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For any Valid Day, an amount equal to (i) the Option Entitlement on such Valid Day,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(A) the lesser of the Relevant Price on such Valid Day and the Cap Price,</w:t>
      </w:r>
      <w:r>
        <w:rPr>
          <w:rFonts w:ascii="Times New Roman" w:cs="Times New Roman" w:eastAsia="Times New Roman" w:hAnsi="Times New Roman"/>
          <w:sz w:val="18"/>
          <w:szCs w:val="18"/>
          <w:i w:val="1"/>
          <w:iCs w:val="1"/>
          <w:color w:val="auto"/>
        </w:rPr>
        <w:t xml:space="preserve"> less </w:t>
      </w:r>
      <w:r>
        <w:rPr>
          <w:rFonts w:ascii="Times New Roman" w:cs="Times New Roman" w:eastAsia="Times New Roman" w:hAnsi="Times New Roman"/>
          <w:sz w:val="18"/>
          <w:szCs w:val="18"/>
          <w:color w:val="auto"/>
        </w:rPr>
        <w:t xml:space="preserve">(B) the Strike 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73" w:lineRule="exact"/>
        <w:rPr>
          <w:sz w:val="20"/>
          <w:szCs w:val="20"/>
          <w:color w:val="auto"/>
        </w:rPr>
      </w:pPr>
    </w:p>
    <w:p>
      <w:pPr>
        <w:sectPr>
          <w:pgSz w:w="11900" w:h="16838" w:orient="portrait"/>
          <w:cols w:equalWidth="0" w:num="2">
            <w:col w:w="2640" w:space="720"/>
            <w:col w:w="6820"/>
          </w:cols>
          <w:pgMar w:left="1240" w:top="268"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Limit:</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8"/>
          <w:szCs w:val="18"/>
          <w:color w:val="auto"/>
        </w:rPr>
        <w:t xml:space="preserve">For any Option, an amount of cash equal to the Applicable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excess of (i) the aggregate of (A) the amount of cash, if any, paid to the “Holder” (as defined in the Indenture) of the related Convertible Note upon conversion of such Convertible Note and (B) the number of Shares, if any, delivered to the “Holder” (as defined in the Indenture) of the related Convertible Note upon conversion of such Convertible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over (ii) USD 1,000.</w:t>
      </w:r>
    </w:p>
    <w:p>
      <w:pPr>
        <w:spacing w:after="0" w:line="76" w:lineRule="exact"/>
        <w:rPr>
          <w:sz w:val="20"/>
          <w:szCs w:val="20"/>
          <w:color w:val="auto"/>
        </w:rPr>
      </w:pPr>
    </w:p>
    <w:p>
      <w:pPr>
        <w:sectPr>
          <w:pgSz w:w="11900" w:h="16838" w:orient="portrait"/>
          <w:cols w:equalWidth="0" w:num="2">
            <w:col w:w="2640" w:space="720"/>
            <w:col w:w="6820"/>
          </w:cols>
          <w:pgMar w:left="12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Applicable Limit Price: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On any day, the opening price as displayed under the heading “Op” on Bloomberg page ADPT &lt;equity&gt; (or any successor thereto).</w:t>
      </w:r>
    </w:p>
    <w:p>
      <w:pPr>
        <w:spacing w:after="0" w:line="54" w:lineRule="exact"/>
        <w:rPr>
          <w:sz w:val="20"/>
          <w:szCs w:val="20"/>
          <w:color w:val="auto"/>
        </w:rPr>
      </w:pPr>
    </w:p>
    <w:p>
      <w:pPr>
        <w:sectPr>
          <w:pgSz w:w="11900" w:h="16838" w:orient="portrait"/>
          <w:cols w:equalWidth="0" w:num="2">
            <w:col w:w="2640" w:space="720"/>
            <w:col w:w="6820"/>
          </w:cols>
          <w:pgMar w:left="12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Valid Day:</w:t>
      </w:r>
    </w:p>
    <w:p>
      <w:pPr>
        <w:spacing w:after="0" w:line="20" w:lineRule="exact"/>
        <w:rPr>
          <w:sz w:val="20"/>
          <w:szCs w:val="20"/>
          <w:color w:val="auto"/>
        </w:rPr>
      </w:pPr>
      <w:r>
        <w:rPr>
          <w:sz w:val="20"/>
          <w:szCs w:val="20"/>
          <w:color w:val="auto"/>
        </w:rPr>
        <w:br w:type="column"/>
      </w:r>
    </w:p>
    <w:p>
      <w:pPr>
        <w:ind w:right="160"/>
        <w:spacing w:after="0" w:line="258" w:lineRule="auto"/>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 on the principal U.S. national or regional securities exchange on which the Shares are then listed or, if the Shares are not then listed on a U.S. national or regional securities exchange, on the principal other market on which the Shares are then traded. If the Shares are not so listed or traded, then “Valid Day” means a Business Day.</w:t>
      </w:r>
    </w:p>
    <w:p>
      <w:pPr>
        <w:spacing w:after="0" w:line="75" w:lineRule="exact"/>
        <w:rPr>
          <w:sz w:val="20"/>
          <w:szCs w:val="20"/>
          <w:color w:val="auto"/>
        </w:rPr>
      </w:pPr>
    </w:p>
    <w:p>
      <w:pPr>
        <w:sectPr>
          <w:pgSz w:w="11900" w:h="16838" w:orient="portrait"/>
          <w:cols w:equalWidth="0" w:num="2">
            <w:col w:w="2640" w:space="720"/>
            <w:col w:w="6820"/>
          </w:cols>
          <w:pgMar w:left="12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Scheduled Valid Day:</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A day that is scheduled to be a Valid Day on the principal U.S. national or regional securities exchange on which the Shares are then listed or, if the Shares are not then listed on a U.S. national or regional securities exchange, on the principal other market on which the Shares are then traded. If the Shares are not so listed or traded, a “Scheduled Valid Day” means a Business Day.</w:t>
      </w:r>
    </w:p>
    <w:p>
      <w:pPr>
        <w:spacing w:after="0" w:line="75" w:lineRule="exact"/>
        <w:rPr>
          <w:sz w:val="20"/>
          <w:szCs w:val="20"/>
          <w:color w:val="auto"/>
        </w:rPr>
      </w:pPr>
    </w:p>
    <w:p>
      <w:pPr>
        <w:sectPr>
          <w:pgSz w:w="11900" w:h="16838" w:orient="portrait"/>
          <w:cols w:equalWidth="0" w:num="2">
            <w:col w:w="2640" w:space="720"/>
            <w:col w:w="6820"/>
          </w:cols>
          <w:pgMar w:left="12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Any day other than a Saturday, a Sunday or any day on which the Federal Reserve Bank of New York is authorized or required by law or executive order to close or be closed.</w:t>
      </w:r>
    </w:p>
    <w:p>
      <w:pPr>
        <w:spacing w:after="0" w:line="54" w:lineRule="exact"/>
        <w:rPr>
          <w:sz w:val="20"/>
          <w:szCs w:val="20"/>
          <w:color w:val="auto"/>
        </w:rPr>
      </w:pPr>
    </w:p>
    <w:p>
      <w:pPr>
        <w:sectPr>
          <w:pgSz w:w="11900" w:h="16838" w:orient="portrait"/>
          <w:cols w:equalWidth="0" w:num="2">
            <w:col w:w="2640" w:space="720"/>
            <w:col w:w="6820"/>
          </w:cols>
          <w:pgMar w:left="12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Relevant Price:</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 “Bloomberg VWAP” on Bloomberg page ADPT &lt;equity&gt; AQR (or, if such page is not available, its equivalent successor page) in respect of the period from the scheduled open of trading until the scheduled close of trading of the primary trading session</w:t>
      </w:r>
    </w:p>
    <w:p>
      <w:pPr>
        <w:spacing w:after="0" w:line="112" w:lineRule="exact"/>
        <w:rPr>
          <w:sz w:val="20"/>
          <w:szCs w:val="20"/>
          <w:color w:val="auto"/>
        </w:rPr>
      </w:pPr>
    </w:p>
    <w:p>
      <w:pPr>
        <w:sectPr>
          <w:pgSz w:w="11900" w:h="16838" w:orient="portrait"/>
          <w:cols w:equalWidth="0" w:num="2">
            <w:col w:w="2640" w:space="720"/>
            <w:col w:w="6820"/>
          </w:cols>
          <w:pgMar w:left="1240" w:top="268" w:right="47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180"/>
          </w:cols>
          <w:pgMar w:left="1240" w:top="268" w:right="479" w:bottom="1440" w:gutter="0" w:footer="0" w:header="0"/>
          <w:type w:val="continuous"/>
        </w:sectPr>
      </w:pPr>
    </w:p>
    <w:bookmarkStart w:id="124" w:name="page125"/>
    <w:bookmarkEnd w:id="124"/>
    <w:p>
      <w:pPr>
        <w:ind w:left="416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such Valid Day (or if such volume-weighted average price is unavailable at such time, the market value of one Share on such Valid Day, as determined by the Calculation Agent in a commercially reasonable manner using, if practicable, a volume-weighted average method). The Relevant Price will be determined without regard to after-hours or “night session” trading or any other trading outside of the regular trading session trading hours.</w:t>
      </w:r>
    </w:p>
    <w:p>
      <w:pPr>
        <w:spacing w:after="0" w:line="24" w:lineRule="exact"/>
        <w:rPr>
          <w:sz w:val="20"/>
          <w:szCs w:val="20"/>
          <w:color w:val="auto"/>
        </w:rPr>
      </w:pPr>
    </w:p>
    <w:p>
      <w:pPr>
        <w:ind w:left="800"/>
        <w:spacing w:after="0"/>
        <w:tabs>
          <w:tab w:leader="none" w:pos="4140" w:val="left"/>
        </w:tabs>
        <w:rPr>
          <w:sz w:val="20"/>
          <w:szCs w:val="20"/>
          <w:color w:val="auto"/>
        </w:rPr>
      </w:pPr>
      <w:r>
        <w:rPr>
          <w:rFonts w:ascii="Times New Roman" w:cs="Times New Roman" w:eastAsia="Times New Roman" w:hAnsi="Times New Roman"/>
          <w:sz w:val="18"/>
          <w:szCs w:val="18"/>
          <w:color w:val="auto"/>
        </w:rPr>
        <w:t>Settlement Averaging Period:</w:t>
      </w:r>
      <w:r>
        <w:rPr>
          <w:sz w:val="20"/>
          <w:szCs w:val="20"/>
          <w:color w:val="auto"/>
        </w:rPr>
        <w:tab/>
      </w:r>
      <w:r>
        <w:rPr>
          <w:rFonts w:ascii="Times New Roman" w:cs="Times New Roman" w:eastAsia="Times New Roman" w:hAnsi="Times New Roman"/>
          <w:sz w:val="17"/>
          <w:szCs w:val="17"/>
          <w:color w:val="auto"/>
        </w:rPr>
        <w:t>For any Option, the 40 consecutive Valid Days commencing on, and including, the 41</w:t>
      </w:r>
      <w:r>
        <w:rPr>
          <w:rFonts w:ascii="Times New Roman" w:cs="Times New Roman" w:eastAsia="Times New Roman" w:hAnsi="Times New Roman"/>
          <w:sz w:val="25"/>
          <w:szCs w:val="25"/>
          <w:color w:val="auto"/>
          <w:vertAlign w:val="superscript"/>
        </w:rPr>
        <w:t>st</w:t>
      </w:r>
    </w:p>
    <w:p>
      <w:pPr>
        <w:ind w:left="4160"/>
        <w:spacing w:after="0"/>
        <w:rPr>
          <w:sz w:val="20"/>
          <w:szCs w:val="20"/>
          <w:color w:val="auto"/>
        </w:rPr>
      </w:pPr>
      <w:r>
        <w:rPr>
          <w:rFonts w:ascii="Times New Roman" w:cs="Times New Roman" w:eastAsia="Times New Roman" w:hAnsi="Times New Roman"/>
          <w:sz w:val="18"/>
          <w:szCs w:val="18"/>
          <w:color w:val="auto"/>
        </w:rPr>
        <w:t>Scheduled Valid Day immediately prior to the Expiration Date.</w:t>
      </w:r>
    </w:p>
    <w:p>
      <w:pPr>
        <w:spacing w:after="0" w:line="97" w:lineRule="exact"/>
        <w:rPr>
          <w:sz w:val="20"/>
          <w:szCs w:val="20"/>
          <w:color w:val="auto"/>
        </w:rPr>
      </w:pPr>
    </w:p>
    <w:p>
      <w:pPr>
        <w:ind w:left="800"/>
        <w:spacing w:after="0"/>
        <w:tabs>
          <w:tab w:leader="none" w:pos="4140" w:val="left"/>
        </w:tabs>
        <w:rPr>
          <w:sz w:val="20"/>
          <w:szCs w:val="20"/>
          <w:color w:val="auto"/>
        </w:rPr>
      </w:pPr>
      <w:r>
        <w:rPr>
          <w:rFonts w:ascii="Times New Roman" w:cs="Times New Roman" w:eastAsia="Times New Roman" w:hAnsi="Times New Roman"/>
          <w:sz w:val="18"/>
          <w:szCs w:val="18"/>
          <w:color w:val="auto"/>
        </w:rPr>
        <w:t>Settlement Date:</w:t>
      </w:r>
      <w:r>
        <w:rPr>
          <w:sz w:val="20"/>
          <w:szCs w:val="20"/>
          <w:color w:val="auto"/>
        </w:rPr>
        <w:tab/>
      </w:r>
      <w:r>
        <w:rPr>
          <w:rFonts w:ascii="Times New Roman" w:cs="Times New Roman" w:eastAsia="Times New Roman" w:hAnsi="Times New Roman"/>
          <w:sz w:val="17"/>
          <w:szCs w:val="17"/>
          <w:color w:val="auto"/>
        </w:rPr>
        <w:t>For any Option, the second Business Day immediately following the final Valid Day of the</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Settlement Averaging Period for such Option.</w:t>
      </w:r>
    </w:p>
    <w:p>
      <w:pPr>
        <w:spacing w:after="0" w:line="99" w:lineRule="exact"/>
        <w:rPr>
          <w:sz w:val="20"/>
          <w:szCs w:val="20"/>
          <w:color w:val="auto"/>
        </w:rPr>
      </w:pPr>
    </w:p>
    <w:p>
      <w:pPr>
        <w:ind w:left="800"/>
        <w:spacing w:after="0"/>
        <w:tabs>
          <w:tab w:leader="none" w:pos="4140" w:val="left"/>
        </w:tabs>
        <w:rPr>
          <w:sz w:val="20"/>
          <w:szCs w:val="20"/>
          <w:color w:val="auto"/>
        </w:rPr>
      </w:pPr>
      <w:r>
        <w:rPr>
          <w:rFonts w:ascii="Times New Roman" w:cs="Times New Roman" w:eastAsia="Times New Roman" w:hAnsi="Times New Roman"/>
          <w:sz w:val="18"/>
          <w:szCs w:val="18"/>
          <w:color w:val="auto"/>
        </w:rPr>
        <w:t>Settlement Currency:</w:t>
      </w:r>
      <w:r>
        <w:rPr>
          <w:sz w:val="20"/>
          <w:szCs w:val="20"/>
          <w:color w:val="auto"/>
        </w:rPr>
        <w:tab/>
      </w: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ind w:left="800"/>
        <w:spacing w:after="0"/>
        <w:tabs>
          <w:tab w:leader="none" w:pos="4140" w:val="left"/>
        </w:tabs>
        <w:rPr>
          <w:sz w:val="20"/>
          <w:szCs w:val="20"/>
          <w:color w:val="auto"/>
        </w:rPr>
      </w:pPr>
      <w:r>
        <w:rPr>
          <w:rFonts w:ascii="Times New Roman" w:cs="Times New Roman" w:eastAsia="Times New Roman" w:hAnsi="Times New Roman"/>
          <w:sz w:val="18"/>
          <w:szCs w:val="18"/>
          <w:color w:val="auto"/>
        </w:rPr>
        <w:t>Other Applicable Provisions:</w:t>
      </w:r>
      <w:r>
        <w:rPr>
          <w:sz w:val="20"/>
          <w:szCs w:val="20"/>
          <w:color w:val="auto"/>
        </w:rPr>
        <w:tab/>
      </w:r>
      <w:r>
        <w:rPr>
          <w:rFonts w:ascii="Times New Roman" w:cs="Times New Roman" w:eastAsia="Times New Roman" w:hAnsi="Times New Roman"/>
          <w:sz w:val="17"/>
          <w:szCs w:val="17"/>
          <w:color w:val="auto"/>
        </w:rPr>
        <w:t>The provisions of Sections 9.1(c), 9.8, 9.9 and 9.11 of the Equity Definitions will be</w:t>
      </w:r>
    </w:p>
    <w:p>
      <w:pPr>
        <w:spacing w:after="0" w:line="27" w:lineRule="exact"/>
        <w:rPr>
          <w:sz w:val="20"/>
          <w:szCs w:val="20"/>
          <w:color w:val="auto"/>
        </w:rPr>
      </w:pPr>
    </w:p>
    <w:p>
      <w:pPr>
        <w:ind w:left="4160" w:right="40"/>
        <w:spacing w:after="0" w:line="255" w:lineRule="auto"/>
        <w:rPr>
          <w:sz w:val="20"/>
          <w:szCs w:val="20"/>
          <w:color w:val="auto"/>
        </w:rPr>
      </w:pPr>
      <w:r>
        <w:rPr>
          <w:rFonts w:ascii="Times New Roman" w:cs="Times New Roman" w:eastAsia="Times New Roman" w:hAnsi="Times New Roman"/>
          <w:sz w:val="18"/>
          <w:szCs w:val="18"/>
          <w:color w:val="auto"/>
        </w:rPr>
        <w:t>applicable, except that all references in such provisions to “Physically-settled” shall be read as references to “Share Settled”. “Share Settled” in relation to any Option means that Net Share Settlement or Combination Settlement is applicable to that Option.</w:t>
      </w:r>
    </w:p>
    <w:p>
      <w:pPr>
        <w:sectPr>
          <w:pgSz w:w="11900" w:h="16838" w:orient="portrait"/>
          <w:cols w:equalWidth="0" w:num="1">
            <w:col w:w="10980"/>
          </w:cols>
          <w:pgMar w:left="440" w:top="270" w:right="479" w:bottom="1440" w:gutter="0" w:footer="0" w:header="0"/>
        </w:sectPr>
      </w:pPr>
    </w:p>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line="400" w:lineRule="auto"/>
        <w:rPr>
          <w:sz w:val="20"/>
          <w:szCs w:val="20"/>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b w:val="1"/>
          <w:bCs w:val="1"/>
          <w:u w:val="single" w:color="auto"/>
          <w:color w:val="auto"/>
        </w:rPr>
        <w:t>Additional Terms applicable to the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Adjustments applicable to the Transaction:</w:t>
      </w:r>
    </w:p>
    <w:p>
      <w:pPr>
        <w:ind w:left="800"/>
        <w:spacing w:after="0"/>
        <w:rPr>
          <w:sz w:val="20"/>
          <w:szCs w:val="20"/>
          <w:color w:val="auto"/>
        </w:rPr>
      </w:pPr>
      <w:r>
        <w:rPr>
          <w:rFonts w:ascii="Times New Roman" w:cs="Times New Roman" w:eastAsia="Times New Roman" w:hAnsi="Times New Roman"/>
          <w:sz w:val="18"/>
          <w:szCs w:val="18"/>
          <w:color w:val="auto"/>
        </w:rPr>
        <w:t>Potential Adjustment Events: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7"/>
          <w:szCs w:val="17"/>
          <w:color w:val="auto"/>
        </w:rPr>
        <w:t>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(iii) any Shares delivered to Counterparty may be “restricted securities” (as defined in Rule 144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6" w:right="320" w:hanging="6"/>
        <w:spacing w:after="0" w:line="260" w:lineRule="auto"/>
        <w:tabs>
          <w:tab w:leader="none" w:pos="31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and Agreement contained in Section 9.11 of the Equity Definitions shall be deemed modified accordingly.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 w:right="80"/>
        <w:spacing w:after="0" w:line="254" w:lineRule="auto"/>
        <w:rPr>
          <w:sz w:val="20"/>
          <w:szCs w:val="20"/>
          <w:color w:val="auto"/>
        </w:rPr>
      </w:pPr>
      <w:r>
        <w:rPr>
          <w:rFonts w:ascii="Times New Roman" w:cs="Times New Roman" w:eastAsia="Times New Roman" w:hAnsi="Times New Roman"/>
          <w:sz w:val="18"/>
          <w:szCs w:val="18"/>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“Reference Property Unit” or to any “Last Reported Sale Price,” “Daily VWAP,” “Daily Conversion Value,” “Daily Cash Amount” or “Daily Share Amount” (each as defined in the Indenture). For the avoidance of doubt, Dealer shall not have any delivery or payment obligation hereunder, and no adjustment shall be made to the terms of the Transaction, on account of (x) any</w:t>
      </w:r>
    </w:p>
    <w:p>
      <w:pPr>
        <w:spacing w:after="0" w:line="124" w:lineRule="exact"/>
        <w:rPr>
          <w:sz w:val="20"/>
          <w:szCs w:val="20"/>
          <w:color w:val="auto"/>
        </w:rPr>
      </w:pPr>
    </w:p>
    <w:p>
      <w:pPr>
        <w:ind w:left="126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4020" w:space="134"/>
            <w:col w:w="6826"/>
          </w:cols>
          <w:pgMar w:left="440" w:top="270" w:right="479" w:bottom="1440" w:gutter="0" w:footer="0" w:header="0"/>
          <w:type w:val="continuous"/>
        </w:sectPr>
      </w:pPr>
    </w:p>
    <w:bookmarkStart w:id="125" w:name="page126"/>
    <w:bookmarkEnd w:id="125"/>
    <w:p>
      <w:pPr>
        <w:ind w:left="3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first sentence of Section 5.05(A)(iii)(1) of the Indenture or the first sentence of Section 5.05(A)(iv) of the Indenture).</w:t>
      </w:r>
    </w:p>
    <w:p>
      <w:pPr>
        <w:sectPr>
          <w:pgSz w:w="11900" w:h="16838" w:orient="portrait"/>
          <w:cols w:equalWidth="0" w:num="1">
            <w:col w:w="10200"/>
          </w:cols>
          <w:pgMar w:left="1240" w:top="270" w:right="45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Calculation Agent Adjustment, which shall not have the meaning set forth in Section 11.2(c) of the Equity Definitions and instead shall mean that, upon any Potential Adjustment Event, the Calculation Agent shall make adjustments in a commercially reasonable manner to any one or more of the Strike Price, Number of Options, Option Entitlement and any other variable relevant to the exercise, settlement or payment for the Transaction that correspond to the adjustments to the Convertible Notes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if any Potential Adjustment Event occurs during the Settlement Averaging Period but no adjustment was made to the “Conversion Rate” (as defined in the Indenture) pursuant to the Indenture because all “Holders” (as such term is defined in the Indenture) were deemed to be record owners of the underlying Shares on one or more Valid Days during the Settlement Averaging Period, then the Calculation Agent shall determine the adjustment that would have been made to the “Conversion Rate” (as defined in the Indenture) in accordance with the terms of the Indenture and shall then determine the adjustment to be made to any one or more of the Strike Price, Number of Options, Option Entitlement and any other variable relevant to the exercise, settlement or payment for the Transaction in a commercially reasonable manner.</w:t>
      </w:r>
    </w:p>
    <w:p>
      <w:pPr>
        <w:spacing w:after="0" w:line="88" w:lineRule="exact"/>
        <w:rPr>
          <w:sz w:val="20"/>
          <w:szCs w:val="20"/>
          <w:color w:val="auto"/>
        </w:rPr>
      </w:pPr>
    </w:p>
    <w:p>
      <w:pPr>
        <w:sectPr>
          <w:pgSz w:w="11900" w:h="16838" w:orient="portrait"/>
          <w:cols w:equalWidth="0" w:num="2">
            <w:col w:w="2640" w:space="720"/>
            <w:col w:w="6840"/>
          </w:cols>
          <w:pgMar w:left="1240" w:top="270" w:right="459" w:bottom="1440" w:gutter="0" w:footer="0" w:header="0"/>
          <w:type w:val="continuous"/>
        </w:sectPr>
      </w:pPr>
    </w:p>
    <w:p>
      <w:pPr>
        <w:ind w:left="3360" w:right="60"/>
        <w:spacing w:after="0" w:line="253" w:lineRule="auto"/>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 if the Calculation Agent in good faith disagrees with any adjustment to the Convertible Notes determined pursuant to the Indenture that is the basis of any adjustment hereunder and that involves an exercise of discretion by Counterparty or its board of directors (including, without limitation, pursuant to Section 5.05(H) of the Indenture, Section 5.09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using, if applicable, the methodology set forth in the Indenture for any such adjustment, in good faith and in a commercially reasonable manner.</w:t>
      </w:r>
    </w:p>
    <w:p>
      <w:pPr>
        <w:spacing w:after="0" w:line="1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00"/>
          </w:cols>
          <w:pgMar w:left="1240" w:top="270" w:right="459" w:bottom="1440" w:gutter="0" w:footer="0" w:header="0"/>
          <w:type w:val="continuous"/>
        </w:sectPr>
      </w:pPr>
    </w:p>
    <w:bookmarkStart w:id="126" w:name="page127"/>
    <w:bookmarkEnd w:id="126"/>
    <w:p>
      <w:pPr>
        <w:ind w:left="37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contained herein to the contrary, (i)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acting in good faith and in a commercially reasonable manner, have the right to adjust any variable relevant to the exercise, settlement or payment for the Transaction as appropriate to reflect the commercially reasonable costs (including, but not limited to, hedging mismatches and market losses) and commercially reasonable out-of-pocket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 (ii) 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7"/>
          <w:szCs w:val="17"/>
          <w:b w:val="1"/>
          <w:bCs w:val="1"/>
          <w:color w:val="auto"/>
        </w:rPr>
        <w:t>Potential Adjustment Event Change</w:t>
      </w:r>
      <w:r>
        <w:rPr>
          <w:rFonts w:ascii="Times New Roman" w:cs="Times New Roman" w:eastAsia="Times New Roman" w:hAnsi="Times New Roman"/>
          <w:sz w:val="17"/>
          <w:szCs w:val="17"/>
          <w:color w:val="auto"/>
        </w:rPr>
        <w:t>”) then, in each case, the Calculation Agent shall have the right to adjust any variable relevant to the exercise, settlement or payment for the Transaction as appropriate to reflect the costs (including, but not limited to, hedging mismatches and market losses) and commercially reasonable out-of-pocket expenses incurred by Dealer in connection with its commercially reasonable hedging activities as a result of such Potential Adjustment Event Change, with such adjustments made assuming that Dealer maintains commercially reasonable hedge positions.</w:t>
      </w:r>
    </w:p>
    <w:p>
      <w:pPr>
        <w:sectPr>
          <w:pgSz w:w="11900" w:h="16838" w:orient="portrait"/>
          <w:cols w:equalWidth="0" w:num="1">
            <w:col w:w="10560"/>
          </w:cols>
          <w:pgMar w:left="880" w:top="270" w:right="459" w:bottom="1440" w:gutter="0" w:footer="0" w:header="0"/>
        </w:sectPr>
      </w:pP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Dilution Adjustment Provisions: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Sections 5.05(A)(i), (ii), (iii), (iv) and (v) and Section 5.05(H) of the Indenture.</w:t>
      </w:r>
    </w:p>
    <w:p>
      <w:pPr>
        <w:spacing w:after="0" w:line="129" w:lineRule="exact"/>
        <w:rPr>
          <w:sz w:val="20"/>
          <w:szCs w:val="20"/>
          <w:color w:val="auto"/>
        </w:rPr>
      </w:pPr>
    </w:p>
    <w:p>
      <w:pPr>
        <w:sectPr>
          <w:pgSz w:w="11900" w:h="16838" w:orient="portrait"/>
          <w:cols w:equalWidth="0" w:num="2">
            <w:col w:w="3000" w:space="720"/>
            <w:col w:w="6840"/>
          </w:cols>
          <w:pgMar w:left="88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Extraordinary Events applicable to the Transaction:</w:t>
      </w:r>
    </w:p>
    <w:p>
      <w:pPr>
        <w:sectPr>
          <w:pgSz w:w="11900" w:h="16838" w:orient="portrait"/>
          <w:cols w:equalWidth="0" w:num="1">
            <w:col w:w="10560"/>
          </w:cols>
          <w:pgMar w:left="880" w:top="270" w:right="459" w:bottom="1440" w:gutter="0" w:footer="0" w:header="0"/>
          <w:type w:val="continuous"/>
        </w:sectPr>
      </w:pP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Merger Events: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 means the occurrence of any event or condition set forth in the definition of “Common Stock Change Event” in Section 5.09(A) of the Indenture.</w:t>
      </w:r>
    </w:p>
    <w:p>
      <w:pPr>
        <w:spacing w:after="0" w:line="65" w:lineRule="exact"/>
        <w:rPr>
          <w:sz w:val="20"/>
          <w:szCs w:val="20"/>
          <w:color w:val="auto"/>
        </w:rPr>
      </w:pPr>
    </w:p>
    <w:p>
      <w:pPr>
        <w:sectPr>
          <w:pgSz w:w="11900" w:h="16838" w:orient="portrait"/>
          <w:cols w:equalWidth="0" w:num="2">
            <w:col w:w="3000" w:space="720"/>
            <w:col w:w="6840"/>
          </w:cols>
          <w:pgMar w:left="880" w:top="270" w:right="45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“Tender Offer” shall not have the meaning set forth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12.1(d) of the Equity Definitions and instead shall mean the occurrence of any event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set forth in Section 5.05(A)(v) of the Indenture.</w:t>
      </w:r>
    </w:p>
    <w:p>
      <w:pPr>
        <w:spacing w:after="0" w:line="139" w:lineRule="exact"/>
        <w:rPr>
          <w:sz w:val="20"/>
          <w:szCs w:val="20"/>
          <w:color w:val="auto"/>
        </w:rPr>
      </w:pPr>
    </w:p>
    <w:p>
      <w:pPr>
        <w:sectPr>
          <w:pgSz w:w="11900" w:h="16838" w:orient="portrait"/>
          <w:cols w:equalWidth="0" w:num="2">
            <w:col w:w="3000" w:space="720"/>
            <w:col w:w="6840"/>
          </w:cols>
          <w:pgMar w:left="880" w:top="270" w:right="459" w:bottom="1440" w:gutter="0" w:footer="0" w:header="0"/>
          <w:type w:val="continuous"/>
        </w:sect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type w:val="continuous"/>
        </w:sectPr>
      </w:pPr>
    </w:p>
    <w:bookmarkStart w:id="127" w:name="page128"/>
    <w:bookmarkEnd w:id="127"/>
    <w:p>
      <w:pPr>
        <w:spacing w:after="0" w:line="282" w:lineRule="auto"/>
        <w:rPr>
          <w:sz w:val="20"/>
          <w:szCs w:val="20"/>
          <w:color w:val="auto"/>
        </w:rPr>
      </w:pPr>
      <w:r>
        <w:rPr>
          <w:rFonts w:ascii="Times New Roman" w:cs="Times New Roman" w:eastAsia="Times New Roman" w:hAnsi="Times New Roman"/>
          <w:sz w:val="18"/>
          <w:szCs w:val="18"/>
          <w:color w:val="auto"/>
        </w:rPr>
        <w:t>Consequences of Merger Events / Tender Offers: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adjustment shall be made without regard to any adjustment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Rate” (as defined in the Indenture) pursuant to any Excluded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with respect to a Merger Event or a Tender Offer, (i) the consideration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includes (or, at the option of a holder of Shares, may include) shares of an entity or person that is not treated as a corporation for U.S. federal income tax purposes or is not organized under the laws of the United States, any State thereof or the District of Columbia or (ii) the Counterparty to the Transaction following such Merger Event or Tender Offer will not be treated as a corporation for U.S. federal income tax purposes organized under the laws of the United States, any State thereof or the District of Columbia, then, in either case, Cancellation and Payment (Calculation Agent Determination) may apply at Dealer’s commercially reasonable election if (A) Dealer determines at any time following the occurrence of such Merger Event or Tender Offer that (x) such Merger Event or Tender Offer has had or will have an adverse effect on Dealer’s rights and obligations under the Transaction or (y) Dealer will incur or has incurred an increased (as compared with circumstances existing on the Trade Date) amount of tax, duty, expense or fee to (1) acquire, establish, re-establish, substitute, maintain, unwind or dispose of any transaction(s) or asset(s) constituting a commercially reasonable hedge position in respect of the economic risk of entering into and performing its obligations with respect to the Transaction or (2) realize, recover or remit the proceeds of any transaction(s) or asset(s) constituting a commercially reasonable hedge position in respect of the economic risk of entering into and performing its obligations with respect to the Transaction or (B) Dealer determines, in its good faith and reasonable judgment, that it will not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-4480560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2960" w:space="400"/>
            <w:col w:w="6800"/>
          </w:cols>
          <w:pgMar w:left="1240" w:top="270" w:right="499" w:bottom="1440" w:gutter="0" w:footer="0" w:header="0"/>
        </w:sectPr>
      </w:pPr>
    </w:p>
    <w:p>
      <w:pPr>
        <w:ind w:left="46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60"/>
          </w:cols>
          <w:pgMar w:left="1240" w:top="270" w:right="49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Consequences of Announcement Events: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 xml:space="preserve">Modified Calculation Agent Adjustment as set forth in Section 12.3(d)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 Announcement Event, (x) references to “Tender Offer” shall be replaced by references to “Announcement Event” and references to “Tender Offer Date” shall be replaced by references to “date of such Announcement Event”, (y) the phrase “exercise, settlement, payment or any other terms of the Transaction (including, without limitation, the spread)” shall be replaced 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determine whether the relevant Announcement Event has had a material economic effect on the Transaction (and, if so, shall, acting in good faith and in a commercially reasonable manner, adjust the Cap Price accordingly) on one or more occasions on or after the date of the Announcement Event up to, and including, the Expiration Date, any Early Termination Date and/or any other date of cancellation,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as modified in this paragraph, is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Calculation Agent making an adjustment, determined in a commercially reasonable manner, to the Cap Price for any Announcement Event, then the Calculation Agent shall make an adjustment to the Cap Price upon any announcement regarding the same event that gave rise to the original Announcement Event regarding the abandonment of any such event if and to the extent necessary to reflect the economic effect of such subsequent announcement on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-3518535</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2960" w:space="400"/>
            <w:col w:w="6840"/>
          </w:cols>
          <w:pgMar w:left="1240" w:top="270"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Announcement Event:</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(i) The public announcement by the Issuer, any subsidiary or agent of the Issuer or any Valid Third Party Entity of (x) any transaction or event that, if completed, would constitute a Merger Event or Tender Offer, (y) any potential acquisition or disposition by the Issuer and/or its subsidiaries where the aggregate consideration (excluding, for the avoidance of doubt, any consideration in the form of earn-outs or bona fide other arrangements for consideration payable post-closing of such acquisition or disposition contingent upon the satisfaction of specified facts or conditions) exceeds 35% (such percentage, the “</w:t>
      </w:r>
      <w:r>
        <w:rPr>
          <w:rFonts w:ascii="Times New Roman" w:cs="Times New Roman" w:eastAsia="Times New Roman" w:hAnsi="Times New Roman"/>
          <w:sz w:val="18"/>
          <w:szCs w:val="18"/>
          <w:b w:val="1"/>
          <w:bCs w:val="1"/>
          <w:color w:val="auto"/>
        </w:rPr>
        <w:t>Transformative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 Percentage</w:t>
      </w:r>
      <w:r>
        <w:rPr>
          <w:rFonts w:ascii="Times New Roman" w:cs="Times New Roman" w:eastAsia="Times New Roman" w:hAnsi="Times New Roman"/>
          <w:sz w:val="18"/>
          <w:szCs w:val="18"/>
          <w:color w:val="auto"/>
        </w:rPr>
        <w:t>”) of the market capitalization of the Issuer as of the date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announcement (a “</w:t>
      </w:r>
      <w:r>
        <w:rPr>
          <w:rFonts w:ascii="Times New Roman" w:cs="Times New Roman" w:eastAsia="Times New Roman" w:hAnsi="Times New Roman"/>
          <w:sz w:val="18"/>
          <w:szCs w:val="18"/>
          <w:b w:val="1"/>
          <w:bCs w:val="1"/>
          <w:color w:val="auto"/>
        </w:rPr>
        <w:t>Transformative Transaction</w:t>
      </w:r>
      <w:r>
        <w:rPr>
          <w:rFonts w:ascii="Times New Roman" w:cs="Times New Roman" w:eastAsia="Times New Roman" w:hAnsi="Times New Roman"/>
          <w:sz w:val="18"/>
          <w:szCs w:val="18"/>
          <w:color w:val="auto"/>
        </w:rPr>
        <w:t>”) or (z) the intention to enter into a Merger Event or Tender</w:t>
      </w:r>
    </w:p>
    <w:p>
      <w:pPr>
        <w:spacing w:after="0" w:line="127" w:lineRule="exact"/>
        <w:rPr>
          <w:sz w:val="20"/>
          <w:szCs w:val="20"/>
          <w:color w:val="auto"/>
        </w:rPr>
      </w:pPr>
    </w:p>
    <w:p>
      <w:pPr>
        <w:sectPr>
          <w:pgSz w:w="11900" w:h="16838" w:orient="portrait"/>
          <w:cols w:equalWidth="0" w:num="2">
            <w:col w:w="2640" w:space="720"/>
            <w:col w:w="6840"/>
          </w:cols>
          <w:pgMar w:left="1240" w:top="270" w:right="45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00"/>
          </w:cols>
          <w:pgMar w:left="1240" w:top="270" w:right="459" w:bottom="1440" w:gutter="0" w:footer="0" w:header="0"/>
          <w:type w:val="continuous"/>
        </w:sectPr>
      </w:pPr>
    </w:p>
    <w:bookmarkStart w:id="129" w:name="page130"/>
    <w:bookmarkEnd w:id="129"/>
    <w:p>
      <w:pPr>
        <w:ind w:left="33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Offer or a Transformative Transaction, (ii) the public announcement by the Issuer of an intention to solicit or enter into, or to explore strategic alternatives or other similar undertakings that may include, a Merger Event or Tender Offer or a Transformative Transaction or (iii) any subsequent public announcement by the Issuer, any subsidiary or agent of the Issuer or any Valid Third Party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except that all references to “voting shares” in Sections 12.1(d), 12.1(e) and 12.1(l) of the Equity Definitions shall be deemed to be references to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12.1(d) of the Equity Definitions is hereby amended by replacing “10%” with “25%” (such percentage, the “</w:t>
      </w:r>
      <w:r>
        <w:rPr>
          <w:rFonts w:ascii="Times New Roman" w:cs="Times New Roman" w:eastAsia="Times New Roman" w:hAnsi="Times New Roman"/>
          <w:sz w:val="18"/>
          <w:szCs w:val="18"/>
          <w:b w:val="1"/>
          <w:bCs w:val="1"/>
          <w:color w:val="auto"/>
        </w:rPr>
        <w:t>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 Percentage</w:t>
      </w:r>
      <w:r>
        <w:rPr>
          <w:rFonts w:ascii="Times New Roman" w:cs="Times New Roman" w:eastAsia="Times New Roman" w:hAnsi="Times New Roman"/>
          <w:sz w:val="18"/>
          <w:szCs w:val="18"/>
          <w:color w:val="auto"/>
        </w:rPr>
        <w:t>”) in the third line thereof.</w:t>
      </w:r>
    </w:p>
    <w:p>
      <w:pPr>
        <w:sectPr>
          <w:pgSz w:w="11900" w:h="16838" w:orient="portrait"/>
          <w:cols w:equalWidth="0" w:num="1">
            <w:col w:w="10180"/>
          </w:cols>
          <w:pgMar w:left="1240" w:top="270" w:right="4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Valid Third Party Entity: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respect of any transaction, any third party (or any agent or subsidiary of such third party) that has a bona fide intent to enter into or consummate such transaction (it being understood and agreed that in determining whether such third party has such a bona fide intent, the Calculation Agent shall take into consideration the effect of the relevant announcement by such third party on the Shares and/or options relating to the Shares).</w:t>
      </w:r>
    </w:p>
    <w:p>
      <w:pPr>
        <w:spacing w:after="0" w:line="73" w:lineRule="exact"/>
        <w:rPr>
          <w:sz w:val="20"/>
          <w:szCs w:val="20"/>
          <w:color w:val="auto"/>
        </w:rPr>
      </w:pPr>
    </w:p>
    <w:p>
      <w:pPr>
        <w:sectPr>
          <w:pgSz w:w="11900" w:h="16838" w:orient="portrait"/>
          <w:cols w:equalWidth="0" w:num="2">
            <w:col w:w="2640" w:space="720"/>
            <w:col w:w="6820"/>
          </w:cols>
          <w:pgMar w:left="1240" w:top="270"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(or remain listed, traded or quoted) on any of the New York Stock Exchange, The Nasdaq Global Select Market or The Nasdaq Global Market (or their respective successors), such exchange or quotation system shall thereafter be deemed to be the Exchange.</w:t>
      </w:r>
    </w:p>
    <w:p>
      <w:pPr>
        <w:spacing w:after="0" w:line="123" w:lineRule="exact"/>
        <w:rPr>
          <w:sz w:val="20"/>
          <w:szCs w:val="20"/>
          <w:color w:val="auto"/>
        </w:rPr>
      </w:pPr>
    </w:p>
    <w:p>
      <w:pPr>
        <w:sectPr>
          <w:pgSz w:w="11900" w:h="16838" w:orient="portrait"/>
          <w:cols w:equalWidth="0" w:num="2">
            <w:col w:w="2940" w:space="420"/>
            <w:col w:w="6820"/>
          </w:cols>
          <w:pgMar w:left="1240" w:top="270" w:right="47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80"/>
          </w:cols>
          <w:pgMar w:left="1240" w:top="270" w:right="47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Law:</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 Notwithstanding anything to the contrary in the Equity Definitions, a Change in Law described in clause (Y) of Section 12.9(a)(ii) of the Equity Definitions shall not constitute a Change in Law and instead shall constitute an Increased Cost of Hedging as described in Section 12.9(a) (vi) of the Equity Definitions, and any such determination of a Change in Law shall be consistently applied by the affected party across transactions similar to the Transaction and for counterparties similar to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-2087880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640" w:space="720"/>
            <w:col w:w="6840"/>
          </w:cols>
          <w:pgMar w:left="1240" w:top="270"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6" w:lineRule="exact"/>
        <w:rPr>
          <w:sz w:val="20"/>
          <w:szCs w:val="20"/>
          <w:color w:val="auto"/>
        </w:rPr>
      </w:pPr>
    </w:p>
    <w:p>
      <w:pPr>
        <w:sectPr>
          <w:pgSz w:w="11900" w:h="16838" w:orient="portrait"/>
          <w:cols w:equalWidth="0" w:num="2">
            <w:col w:w="2640" w:space="720"/>
            <w:col w:w="6840"/>
          </w:cols>
          <w:pgMar w:left="1240" w:top="270" w:right="45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0" w:lineRule="exact"/>
        <w:rPr>
          <w:sz w:val="20"/>
          <w:szCs w:val="20"/>
          <w:color w:val="auto"/>
        </w:rPr>
      </w:pPr>
    </w:p>
    <w:p>
      <w:pPr>
        <w:sectPr>
          <w:pgSz w:w="11900" w:h="16838" w:orient="portrait"/>
          <w:cols w:equalWidth="0" w:num="2">
            <w:col w:w="2640" w:space="720"/>
            <w:col w:w="6840"/>
          </w:cols>
          <w:pgMar w:left="1240" w:top="270" w:right="459" w:bottom="1440" w:gutter="0" w:footer="0" w:header="0"/>
          <w:type w:val="continuous"/>
        </w:sectPr>
      </w:pPr>
    </w:p>
    <w:p>
      <w:pPr>
        <w:ind w:left="33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right="40" w:hanging="9"/>
        <w:spacing w:after="0" w:line="282" w:lineRule="auto"/>
        <w:rPr>
          <w:sz w:val="20"/>
          <w:szCs w:val="20"/>
          <w:color w:val="auto"/>
        </w:rPr>
      </w:pPr>
      <w:r>
        <w:rPr>
          <w:rFonts w:ascii="Times New Roman" w:cs="Times New Roman" w:eastAsia="Times New Roman" w:hAnsi="Times New Roman"/>
          <w:sz w:val="18"/>
          <w:szCs w:val="18"/>
          <w:color w:val="auto"/>
        </w:rPr>
        <w:t>Section 12.9(a)(v) of the Equity Definitions is hereby amended by inserting the following two phrases at the end of such Section:</w:t>
      </w:r>
    </w:p>
    <w:p>
      <w:pPr>
        <w:spacing w:after="0" w:line="54" w:lineRule="exact"/>
        <w:rPr>
          <w:sz w:val="20"/>
          <w:szCs w:val="20"/>
          <w:color w:val="auto"/>
        </w:rPr>
      </w:pPr>
    </w:p>
    <w:p>
      <w:pPr>
        <w:sectPr>
          <w:pgSz w:w="11900" w:h="16838" w:orient="portrait"/>
          <w:cols w:equalWidth="0" w:num="2">
            <w:col w:w="3560" w:space="160"/>
            <w:col w:w="6480"/>
          </w:cols>
          <w:pgMar w:left="1240" w:top="270" w:right="459" w:bottom="1440" w:gutter="0" w:footer="0" w:header="0"/>
          <w:type w:val="continuous"/>
        </w:sectPr>
      </w:pPr>
    </w:p>
    <w:p>
      <w:pPr>
        <w:ind w:left="3720" w:right="120"/>
        <w:spacing w:after="0" w:line="261" w:lineRule="auto"/>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spacing w:after="0" w:line="72" w:lineRule="exact"/>
        <w:rPr>
          <w:sz w:val="20"/>
          <w:szCs w:val="20"/>
          <w:color w:val="auto"/>
        </w:rPr>
      </w:pPr>
    </w:p>
    <w:p>
      <w:pPr>
        <w:ind w:left="3720" w:right="120" w:hanging="359"/>
        <w:spacing w:after="0" w:line="258" w:lineRule="auto"/>
        <w:rPr>
          <w:sz w:val="20"/>
          <w:szCs w:val="20"/>
          <w:color w:val="auto"/>
        </w:rPr>
      </w:pPr>
      <w:r>
        <w:rPr>
          <w:rFonts w:ascii="Times New Roman" w:cs="Times New Roman" w:eastAsia="Times New Roman" w:hAnsi="Times New Roman"/>
          <w:sz w:val="18"/>
          <w:szCs w:val="18"/>
          <w:color w:val="auto"/>
        </w:rPr>
        <w:t>(ii)   Section 12.9(b)(iii) of the Equity Definitions is hereby amended by inserting in the third line thereof, after the words “to terminate the Transaction”, the words “or, if a portion of the Transaction is affected by such Hedging Disruption (as determined by the Hedging Party in a commercially reasonable manner), such portion of the Transaction affected by such Hedging Disruption”.</w:t>
      </w:r>
    </w:p>
    <w:p>
      <w:pPr>
        <w:spacing w:after="0" w:line="75" w:lineRule="exact"/>
        <w:rPr>
          <w:sz w:val="20"/>
          <w:szCs w:val="20"/>
          <w:color w:val="auto"/>
        </w:rPr>
      </w:pPr>
    </w:p>
    <w:p>
      <w:pPr>
        <w:ind w:left="3360"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in no event will a Hedging Disruption occur solely due to the deterioration of the creditworthiness of the Hedging Party relative to other comparable financial institutions.</w:t>
      </w:r>
    </w:p>
    <w:p>
      <w:pPr>
        <w:spacing w:after="0" w:line="10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200"/>
          </w:cols>
          <w:pgMar w:left="1240" w:top="270" w:right="459" w:bottom="1440" w:gutter="0" w:footer="0" w:header="0"/>
          <w:type w:val="continuous"/>
        </w:sectPr>
      </w:pPr>
    </w:p>
    <w:bookmarkStart w:id="131" w:name="page132"/>
    <w:bookmarkEnd w:id="131"/>
    <w:p>
      <w:pPr>
        <w:ind w:left="160"/>
        <w:spacing w:after="0"/>
        <w:rPr>
          <w:sz w:val="20"/>
          <w:szCs w:val="20"/>
          <w:color w:val="auto"/>
        </w:rPr>
      </w:pPr>
      <w:r>
        <w:rPr>
          <w:rFonts w:ascii="Times New Roman" w:cs="Times New Roman" w:eastAsia="Times New Roman" w:hAnsi="Times New Roman"/>
          <w:sz w:val="18"/>
          <w:szCs w:val="18"/>
          <w:color w:val="auto"/>
        </w:rPr>
        <w:t>Increased Cost of Hedging:</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 (ii) of the Equity Definitions as set forth in the last sentence opposite the caption “Change in Law”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-518795</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2440" w:space="720"/>
            <w:col w:w="6840"/>
          </w:cols>
          <w:pgMar w:left="1440" w:top="270" w:right="459" w:bottom="1440" w:gutter="0" w:footer="0" w:header="0"/>
        </w:sectPr>
      </w:pP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7"/>
          <w:szCs w:val="17"/>
          <w:color w:val="auto"/>
        </w:rPr>
        <w:t xml:space="preserve">For all applicable Additional Disruption Events, Dealer;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 making any determination, adjustment or calculation as “Hedging Party” (but not, for the avoidance of doubt, the making of any election it is entitled to make as “Hedging Party”), Dealer shall be bound by the same obligations relating to required acts of the Calculation Agent as set forth in Section 1.40 of the Equity Definitions and this Confirmation as if the Hedging Party were the Calculation Agent. Following any determination, adjustment or calculation by the Hedging Party hereunder, promptly (and in any event within five Business Days) following a written request by Counterparty therefor, the Hedging Party shall provide to Counterparty by e-mail to the e-mail address provided by Counterparty a written explanation and report (in a commonly used file format for the storage and manipulation of financial data) describing in reasonable detail such determination, adjustment or calculation (including, as applicable, any quotations, market data, information from internal sources used in making such determination, adjustment or calculation, descriptions of the methodology and any assumptions and basis used in making such determination, adjustment or calculation), it being understood that the Hedging Party shall not be obligated to disclose any proprietary or confidential models or proprietary or confidential information used by it for such determination, adjustment or calculation. All determinations, adjustments and calculations by Dealer acting in its capacity as the Hedging Party shall be made assuming that Dealer maintains a commercially reasonable hedge position.</w:t>
      </w:r>
    </w:p>
    <w:p>
      <w:pPr>
        <w:spacing w:after="0" w:line="67" w:lineRule="exact"/>
        <w:rPr>
          <w:sz w:val="20"/>
          <w:szCs w:val="20"/>
          <w:color w:val="auto"/>
        </w:rPr>
      </w:pPr>
    </w:p>
    <w:p>
      <w:pPr>
        <w:sectPr>
          <w:pgSz w:w="11900" w:h="16838" w:orient="portrait"/>
          <w:cols w:equalWidth="0" w:num="2">
            <w:col w:w="2440" w:space="720"/>
            <w:col w:w="6840"/>
          </w:cols>
          <w:pgMar w:left="1440" w:top="270" w:right="459" w:bottom="1440" w:gutter="0" w:footer="0" w:header="0"/>
          <w:type w:val="continuous"/>
        </w:sectPr>
      </w:pP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making any determination, adjustment or calculation as “Determining Party” (but not, for the avoidance of doubt, the making of any election it is entitled to make as “Determining Party”), Dealer shall be bound by the same obligations relating to required acts of the Calculation Agent as set forth in Section 1.40 of the Equity Definitions and this Confirmation as if the Determining Party were the Calculation Agent. Following any determination, adjustment or calculation by the Determining Party hereunder, promptly (and in any event within five Business Days) following a written request by Counterparty therefor, the Determining Party shall provide to Counterparty by e-mail to the e-mail address provided by Counterparty a written explanation and report (in a commonly used file format for the storage and manipulation of financial data)</w:t>
      </w:r>
    </w:p>
    <w:p>
      <w:pPr>
        <w:spacing w:after="0" w:line="120" w:lineRule="exact"/>
        <w:rPr>
          <w:sz w:val="20"/>
          <w:szCs w:val="20"/>
          <w:color w:val="auto"/>
        </w:rPr>
      </w:pPr>
    </w:p>
    <w:p>
      <w:pPr>
        <w:sectPr>
          <w:pgSz w:w="11900" w:h="16838" w:orient="portrait"/>
          <w:cols w:equalWidth="0" w:num="2">
            <w:col w:w="2440" w:space="720"/>
            <w:col w:w="6840"/>
          </w:cols>
          <w:pgMar w:left="1440" w:top="270" w:right="459"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00"/>
          </w:cols>
          <w:pgMar w:left="1440" w:top="270" w:right="459" w:bottom="1440" w:gutter="0" w:footer="0" w:header="0"/>
          <w:type w:val="continuous"/>
        </w:sectPr>
      </w:pPr>
    </w:p>
    <w:bookmarkStart w:id="132" w:name="page133"/>
    <w:bookmarkEnd w:id="132"/>
    <w:p>
      <w:pPr>
        <w:ind w:left="4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describing in reasonable detail such determination, adjustment or calculation (including, as applicable, any quotations, market data, information from internal sources used in making such determination, adjustment or calculation, descriptions of the methodology and any assumptions and basis used in making such determination, adjustment or calculation), it being understood that the Determining Party shall not be obligated to disclose any proprietary or confidential models or proprietary or confidential information used by it for such determination, adjustment or calculation. All determinations, adjustments and calculations by Dealer acting in its capacity as the Determining Party shall be made assuming that Dealer maintains a commercially reasonable hedge position.</w:t>
      </w:r>
    </w:p>
    <w:p>
      <w:pPr>
        <w:spacing w:after="0" w:line="80" w:lineRule="exact"/>
        <w:rPr>
          <w:sz w:val="20"/>
          <w:szCs w:val="20"/>
          <w:color w:val="auto"/>
        </w:rPr>
      </w:pPr>
    </w:p>
    <w:p>
      <w:pPr>
        <w:ind w:left="1160"/>
        <w:spacing w:after="0"/>
        <w:tabs>
          <w:tab w:leader="none" w:pos="4140" w:val="left"/>
        </w:tabs>
        <w:rPr>
          <w:sz w:val="20"/>
          <w:szCs w:val="20"/>
          <w:color w:val="auto"/>
        </w:rPr>
      </w:pPr>
      <w:r>
        <w:rPr>
          <w:rFonts w:ascii="Times New Roman" w:cs="Times New Roman" w:eastAsia="Times New Roman" w:hAnsi="Times New Roman"/>
          <w:sz w:val="18"/>
          <w:szCs w:val="18"/>
          <w:color w:val="auto"/>
        </w:rPr>
        <w:t>Non-Reliance:</w:t>
      </w:r>
      <w:r>
        <w:rPr>
          <w:sz w:val="20"/>
          <w:szCs w:val="20"/>
          <w:color w:val="auto"/>
        </w:rPr>
        <w:tab/>
      </w:r>
      <w:r>
        <w:rPr>
          <w:rFonts w:ascii="Times New Roman" w:cs="Times New Roman" w:eastAsia="Times New Roman" w:hAnsi="Times New Roman"/>
          <w:sz w:val="17"/>
          <w:szCs w:val="17"/>
          <w:color w:val="auto"/>
        </w:rPr>
        <w:t>Applicable</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Agreements and Acknowledgments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40" w:type="dxa"/>
            <w:vAlign w:val="bottom"/>
          </w:tcPr>
          <w:p>
            <w:pPr>
              <w:spacing w:after="0"/>
              <w:rPr>
                <w:sz w:val="24"/>
                <w:szCs w:val="24"/>
                <w:color w:val="auto"/>
              </w:rPr>
            </w:pPr>
          </w:p>
        </w:tc>
        <w:tc>
          <w:tcPr>
            <w:tcW w:w="3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Applicable</w:t>
            </w:r>
          </w:p>
        </w:tc>
      </w:tr>
      <w:tr>
        <w:trPr>
          <w:trHeight w:val="283"/>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Calculation Agent.</w:t>
            </w: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continuance of an Event of Default</w:t>
            </w:r>
          </w:p>
        </w:tc>
      </w:tr>
      <w:tr>
        <w:trPr>
          <w:trHeight w:val="218"/>
        </w:trPr>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type described in Section 5(a)(vii) of the Agreement with respect to which Dealer is the sole</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Defaulting Party, if the Calculation Agent fails to timely make any calculation, adjustment or</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determination required to be made by the Calculation Agent hereunder and such failure continues</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five Exchange Business Days following notice to the Calculation Agent by Counterparty of</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such failure, Counterparty shall have the right to designate a nationally recognized third-party</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dealer in over-the-counter corporate equity derivatives to act, during the period commencing on the</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date such Event of Default occurred and ending on the Early Termination Date with respect to such</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 of Default (or, if earlier, the date on which such Event of Default is no longer ongoing), as</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Calculation Agent. Regardless of whether or not a standard for the actions of the Calculation</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Agent is explicitly stated in any provision hereof, the standards of Section 1.40 of the Equity</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 as modified by adding the words, “acts or” immediately before the words, “is required</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act” in line 2 thereof, shall apply to the Calculation Agent at all times and in respect of all</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circumstances hereunder. Following any determination, adjustment or calculation by the</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 Agent hereunder, promptly (and in any event within five Business Days) following a</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written request by Counterparty therefor, the Calculation Agent shall provide to Counterparty, by</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e-mail to the e-mail address provided by Counterparty, a written explanation and report (in a</w:t>
            </w: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commonly used file format for the storage and manipulation of financial data) displaying in</w:t>
            </w:r>
          </w:p>
        </w:tc>
      </w:tr>
      <w:tr>
        <w:trPr>
          <w:trHeight w:val="234"/>
        </w:trPr>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commercially reasonable</w:t>
            </w:r>
          </w:p>
        </w:tc>
      </w:tr>
      <w:tr>
        <w:trPr>
          <w:trHeight w:val="365"/>
        </w:trPr>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000"/>
          </w:cols>
          <w:pgMar w:left="440" w:top="270" w:right="459" w:bottom="1440" w:gutter="0" w:footer="0" w:header="0"/>
        </w:sectPr>
      </w:pPr>
    </w:p>
    <w:bookmarkStart w:id="133" w:name="page134"/>
    <w:bookmarkEnd w:id="133"/>
    <w:p>
      <w:pPr>
        <w:ind w:left="386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detail the basis for such determination, adjustment or calculation (including any quotations, market data or information from internal or external sources, and any assumptions, used in making such determination, adjustment or calculation), it being understood that the Calculation Agent shall not be obligated to disclose any proprietary or confidential models or proprietary or confidential information used by it for such determination, adjustment or calculation.</w:t>
      </w:r>
    </w:p>
    <w:p>
      <w:pPr>
        <w:spacing w:after="0" w:line="75" w:lineRule="exact"/>
        <w:rPr>
          <w:sz w:val="20"/>
          <w:szCs w:val="20"/>
          <w:color w:val="auto"/>
        </w:rPr>
      </w:pPr>
    </w:p>
    <w:p>
      <w:pPr>
        <w:ind w:left="3864" w:right="80"/>
        <w:spacing w:after="0" w:line="258" w:lineRule="auto"/>
        <w:rPr>
          <w:sz w:val="20"/>
          <w:szCs w:val="20"/>
          <w:color w:val="auto"/>
        </w:rPr>
      </w:pPr>
      <w:r>
        <w:rPr>
          <w:rFonts w:ascii="Times New Roman" w:cs="Times New Roman" w:eastAsia="Times New Roman" w:hAnsi="Times New Roman"/>
          <w:sz w:val="18"/>
          <w:szCs w:val="18"/>
          <w:color w:val="auto"/>
        </w:rPr>
        <w:t>Dealer, whether as Calculation Agent, Hedging Party, Determining Party or otherwise, shall use commercially reasonable efforts to notify Counterparty of any event giving rise to any adjustment required or, to the extent it makes any such adjustment, permitted to be made to the terms of the Transaction, the terms being adjusted and, for each term so adjusted, such term, in each case, as promptly as reasonably practicable after giving effect to such adjustment.</w:t>
      </w:r>
    </w:p>
    <w:p>
      <w:pPr>
        <w:spacing w:after="0" w:line="328" w:lineRule="exact"/>
        <w:rPr>
          <w:sz w:val="20"/>
          <w:szCs w:val="20"/>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84" w:right="7180" w:hanging="552"/>
        <w:spacing w:after="0" w:line="375" w:lineRule="auto"/>
        <w:tabs>
          <w:tab w:leader="none" w:pos="96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w:t>
      </w:r>
    </w:p>
    <w:p>
      <w:pPr>
        <w:spacing w:after="0" w:line="1" w:lineRule="exact"/>
        <w:rPr>
          <w:rFonts w:ascii="Times New Roman" w:cs="Times New Roman" w:eastAsia="Times New Roman" w:hAnsi="Times New Roman"/>
          <w:sz w:val="18"/>
          <w:szCs w:val="18"/>
          <w:color w:val="auto"/>
        </w:rPr>
      </w:pPr>
    </w:p>
    <w:p>
      <w:pPr>
        <w:ind w:left="984" w:right="6540"/>
        <w:spacing w:after="0" w:line="3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to Counterparty: To be provided.</w:t>
      </w:r>
    </w:p>
    <w:p>
      <w:pPr>
        <w:ind w:left="984" w:right="7660" w:hanging="552"/>
        <w:spacing w:after="0" w:line="375" w:lineRule="auto"/>
        <w:tabs>
          <w:tab w:leader="none" w:pos="96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 To be provided.</w:t>
      </w:r>
    </w:p>
    <w:p>
      <w:pPr>
        <w:spacing w:after="0" w:line="1" w:lineRule="exact"/>
        <w:rPr>
          <w:rFonts w:ascii="Times New Roman" w:cs="Times New Roman" w:eastAsia="Times New Roman" w:hAnsi="Times New Roman"/>
          <w:sz w:val="18"/>
          <w:szCs w:val="18"/>
          <w:color w:val="auto"/>
        </w:rPr>
      </w:pPr>
    </w:p>
    <w:p>
      <w:pPr>
        <w:ind w:left="984" w:right="680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from Dealer: To be provided.</w:t>
      </w:r>
    </w:p>
    <w:p>
      <w:pPr>
        <w:spacing w:after="0" w:line="19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[____________][Inapplicable, Dealer is not a Multibranch Party].</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225" w:lineRule="exact"/>
        <w:rPr>
          <w:rFonts w:ascii="Times New Roman" w:cs="Times New Roman" w:eastAsia="Times New Roman" w:hAnsi="Times New Roman"/>
          <w:sz w:val="18"/>
          <w:szCs w:val="18"/>
          <w:color w:val="auto"/>
        </w:rPr>
      </w:pPr>
    </w:p>
    <w:p>
      <w:pPr>
        <w:ind w:left="984" w:right="7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Adaptive Biotechnologies Corporation 1165 Eastlake Avenue East</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Seattle, Washington 98109</w:t>
      </w:r>
    </w:p>
    <w:p>
      <w:pPr>
        <w:spacing w:after="0" w:line="9" w:lineRule="exact"/>
        <w:rPr>
          <w:rFonts w:ascii="Times New Roman" w:cs="Times New Roman" w:eastAsia="Times New Roman" w:hAnsi="Times New Roman"/>
          <w:sz w:val="18"/>
          <w:szCs w:val="18"/>
          <w:color w:val="auto"/>
        </w:rPr>
      </w:pPr>
    </w:p>
    <w:p>
      <w:pPr>
        <w:ind w:left="984" w:right="60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Kyle Piskel, Chief Financial Officer Telephone:      [*]</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378" w:right="479" w:bottom="1440" w:gutter="0" w:footer="0" w:header="0"/>
        </w:sectPr>
      </w:pPr>
    </w:p>
    <w:bookmarkStart w:id="134" w:name="page135"/>
    <w:bookmarkEnd w:id="134"/>
    <w:p>
      <w:pPr>
        <w:ind w:left="964" w:hanging="532"/>
        <w:spacing w:after="0"/>
        <w:tabs>
          <w:tab w:leader="none" w:pos="96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for notices or communications to Dealer:</w:t>
      </w:r>
    </w:p>
    <w:p>
      <w:pPr>
        <w:spacing w:after="0" w:line="90"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t>
      </w:r>
      <w:r>
        <w:rPr>
          <w:rFonts w:ascii="Times New Roman" w:cs="Times New Roman" w:eastAsia="Times New Roman" w:hAnsi="Times New Roman"/>
          <w:sz w:val="17"/>
          <w:szCs w:val="17"/>
          <w:color w:val="auto"/>
        </w:rPr>
        <w:t>[____________]</w:t>
      </w:r>
      <w:r>
        <w:rPr>
          <w:rFonts w:ascii="Times New Roman" w:cs="Times New Roman" w:eastAsia="Times New Roman" w:hAnsi="Times New Roman"/>
          <w:sz w:val="24"/>
          <w:szCs w:val="24"/>
          <w:color w:val="auto"/>
          <w:vertAlign w:val="superscript"/>
        </w:rPr>
        <w:t>15</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Attention:[____________]</w:t>
      </w:r>
    </w:p>
    <w:p>
      <w:pPr>
        <w:spacing w:after="0" w:line="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Telephone:[____________]</w:t>
      </w:r>
    </w:p>
    <w:p>
      <w:pPr>
        <w:spacing w:after="0" w:line="9" w:lineRule="exact"/>
        <w:rPr>
          <w:rFonts w:ascii="Times New Roman" w:cs="Times New Roman" w:eastAsia="Times New Roman" w:hAnsi="Times New Roman"/>
          <w:sz w:val="18"/>
          <w:szCs w:val="18"/>
          <w:color w:val="auto"/>
        </w:rPr>
      </w:pPr>
    </w:p>
    <w:p>
      <w:pPr>
        <w:ind w:left="984" w:right="734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[____________] [Witha copy to:</w:t>
      </w:r>
    </w:p>
    <w:p>
      <w:pPr>
        <w:spacing w:after="0" w:line="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To:[____________]</w:t>
      </w:r>
    </w:p>
    <w:p>
      <w:pPr>
        <w:spacing w:after="0" w:line="130"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Attention:[____________]</w:t>
      </w:r>
    </w:p>
    <w:p>
      <w:pPr>
        <w:spacing w:after="0" w:line="27" w:lineRule="exact"/>
        <w:rPr>
          <w:sz w:val="20"/>
          <w:szCs w:val="20"/>
          <w:color w:val="auto"/>
        </w:rPr>
      </w:pPr>
    </w:p>
    <w:p>
      <w:pPr>
        <w:ind w:left="984"/>
        <w:spacing w:after="0"/>
        <w:tabs>
          <w:tab w:leader="none" w:pos="2404"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ind w:left="984"/>
        <w:spacing w:after="0"/>
        <w:tabs>
          <w:tab w:leader="none" w:pos="240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[____________]]</w:t>
      </w:r>
    </w:p>
    <w:p>
      <w:pPr>
        <w:spacing w:after="0" w:line="351" w:lineRule="exact"/>
        <w:rPr>
          <w:sz w:val="20"/>
          <w:szCs w:val="20"/>
          <w:color w:val="auto"/>
        </w:rPr>
      </w:pPr>
    </w:p>
    <w:p>
      <w:pPr>
        <w:ind w:left="424" w:hanging="424"/>
        <w:spacing w:after="0"/>
        <w:tabs>
          <w:tab w:leader="none" w:pos="424"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Counterparty hereby represents and warrants to Dealer on the date hereof and on and as of the Premium Payment Date that:</w:t>
      </w:r>
    </w:p>
    <w:p>
      <w:pPr>
        <w:spacing w:after="0" w:line="130" w:lineRule="exact"/>
        <w:rPr>
          <w:rFonts w:ascii="Times New Roman" w:cs="Times New Roman" w:eastAsia="Times New Roman" w:hAnsi="Times New Roman"/>
          <w:sz w:val="18"/>
          <w:szCs w:val="18"/>
          <w:b w:val="1"/>
          <w:bCs w:val="1"/>
          <w:color w:val="auto"/>
        </w:rPr>
      </w:pPr>
    </w:p>
    <w:p>
      <w:pPr>
        <w:ind w:left="964" w:right="60" w:hanging="532"/>
        <w:spacing w:after="0" w:line="254" w:lineRule="auto"/>
        <w:tabs>
          <w:tab w:leader="none" w:pos="96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9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most recently filed Annual Report on Form 10-K, as updated by subsequent filings, or constitute a default under, or result in the creation of any lien under, any such agreement or instrument.</w:t>
      </w:r>
    </w:p>
    <w:p>
      <w:pPr>
        <w:spacing w:after="0" w:line="88"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financial institutions and/or broker-dealers.</w:t>
      </w:r>
    </w:p>
    <w:p>
      <w:pPr>
        <w:spacing w:after="0" w:line="88"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jc w:val="both"/>
        <w:ind w:left="964" w:right="80" w:hanging="532"/>
        <w:spacing w:after="0" w:line="266" w:lineRule="auto"/>
        <w:tabs>
          <w:tab w:leader="none" w:pos="96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 (the “</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other than a person that is an eligible contract participant under Section 1a(18)(C) of the Commodity Exchange Act).</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date hereof, in possession of any material non-public information with respect to Counterparty 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964" w:hanging="532"/>
        <w:spacing w:after="0"/>
        <w:tabs>
          <w:tab w:leader="none" w:pos="964" w:val="left"/>
        </w:tabs>
        <w:numPr>
          <w:ilvl w:val="0"/>
          <w:numId w:val="19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Dealer’s notice contact information.</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135" w:name="page136"/>
    <w:bookmarkEnd w:id="135"/>
    <w:p>
      <w:pPr>
        <w:ind w:left="964" w:right="20" w:hanging="532"/>
        <w:spacing w:after="0" w:line="256" w:lineRule="auto"/>
        <w:tabs>
          <w:tab w:leader="none" w:pos="96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its knowledge, no state or local (including any non-U.S. jurisdiction’s) law, rule, regulation or regulatory order applicable to the Shares (not including (x)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(y) any rules or regulations under the Exchange Act or (z) laws, rules, regulations or regulatory orders of any jurisdiction that are applicable solely as a result of Dealer’s and/or its affiliates’ activities, assets or businesses, other than Dealer’s activities in respect of the Transaction) would give rise to any reporting, consent, registration or other requirement (including without limitation a requirement to obtain prior approval from any person or entity) as a result of Dealer or its affiliates owning or holding (however defined) Shares in connection with the Transaction.</w:t>
      </w:r>
    </w:p>
    <w:p>
      <w:pPr>
        <w:spacing w:after="0" w:line="92"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and after giving effect to the payment of the Premium</w:t>
      </w:r>
    </w:p>
    <w:p>
      <w:pPr>
        <w:spacing w:after="0" w:line="27" w:lineRule="exact"/>
        <w:rPr>
          <w:rFonts w:ascii="Times New Roman" w:cs="Times New Roman" w:eastAsia="Times New Roman" w:hAnsi="Times New Roman"/>
          <w:sz w:val="18"/>
          <w:szCs w:val="18"/>
          <w:color w:val="auto"/>
        </w:rPr>
      </w:pPr>
    </w:p>
    <w:p>
      <w:pPr>
        <w:ind w:left="964" w:firstLine="8"/>
        <w:spacing w:after="0" w:line="250" w:lineRule="auto"/>
        <w:tabs>
          <w:tab w:leader="none" w:pos="1259"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would be able to pay its liabilities as they become due in the usual course of business and Counterparty’s total assets would not be less than the sum of its total liabilities plus, the amount that would be needed, if Counterparty were to be dissolved at the time of the distribution, to satisfy the preferential rights upon dissolution of shareholders whose preferential rights are superior to those of holders of the Shares (all within the meaning of Chapter 23B.06.400 of the Revised Code of the State of Washington), (B) the capital of Counterparty is adequate to conduct the business of Counterparty, and Counterparty’s entry into the Transaction will not impair its capital,</w:t>
      </w:r>
    </w:p>
    <w:p>
      <w:pPr>
        <w:spacing w:after="0" w:line="1" w:lineRule="exact"/>
        <w:rPr>
          <w:rFonts w:ascii="Times New Roman" w:cs="Times New Roman" w:eastAsia="Times New Roman" w:hAnsi="Times New Roman"/>
          <w:sz w:val="18"/>
          <w:szCs w:val="18"/>
          <w:color w:val="auto"/>
        </w:rPr>
      </w:pPr>
    </w:p>
    <w:p>
      <w:pPr>
        <w:ind w:left="964" w:right="20" w:firstLine="8"/>
        <w:spacing w:after="0" w:line="252" w:lineRule="auto"/>
        <w:tabs>
          <w:tab w:leader="none" w:pos="1249"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(F) Counterparty would be able to purchase the Number of Shares with respect to the Transaction in compliance with the laws of the jurisdiction of Counterparty’s incorporation (including the requirements of Chapter 23B.06.400 of the Revised Code of the State of Washington).</w:t>
      </w:r>
    </w:p>
    <w:p>
      <w:pPr>
        <w:spacing w:after="0" w:line="95" w:lineRule="exact"/>
        <w:rPr>
          <w:rFonts w:ascii="Times New Roman" w:cs="Times New Roman" w:eastAsia="Times New Roman" w:hAnsi="Times New Roman"/>
          <w:sz w:val="18"/>
          <w:szCs w:val="18"/>
          <w:color w:val="auto"/>
        </w:rPr>
      </w:pPr>
    </w:p>
    <w:p>
      <w:pPr>
        <w:ind w:left="964" w:right="40" w:hanging="532"/>
        <w:spacing w:after="0" w:line="277" w:lineRule="auto"/>
        <w:tabs>
          <w:tab w:leader="none" w:pos="96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6"/>
          <w:szCs w:val="26"/>
          <w:color w:val="auto"/>
          <w:vertAlign w:val="superscript"/>
        </w:rPr>
        <w:t>16</w:t>
      </w:r>
    </w:p>
    <w:p>
      <w:pPr>
        <w:spacing w:after="0" w:line="1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132" w:lineRule="exact"/>
        <w:rPr>
          <w:rFonts w:ascii="Times New Roman" w:cs="Times New Roman" w:eastAsia="Times New Roman" w:hAnsi="Times New Roman"/>
          <w:sz w:val="18"/>
          <w:szCs w:val="18"/>
          <w:b w:val="1"/>
          <w:bCs w:val="1"/>
          <w:color w:val="auto"/>
        </w:rPr>
      </w:pPr>
    </w:p>
    <w:p>
      <w:pPr>
        <w:ind w:left="964" w:right="160" w:hanging="532"/>
        <w:spacing w:after="0" w:line="261" w:lineRule="auto"/>
        <w:tabs>
          <w:tab w:leader="none" w:pos="96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Premium Payment Date, with respect to the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Sections 8(a) through (c) of this Confirmation, subject to customary assumptions, qualifications and exemptions, in each case, reasonably acceptable to Dealer. Delivery of such opinion to Dealer shall be a condition precedent for the purpose of Section 2(a)(iii) of the Agreement with respect to each obligation of Dealer under Section 2(a)(i) of the Agreement.</w:t>
      </w:r>
    </w:p>
    <w:p>
      <w:pPr>
        <w:spacing w:after="0" w:line="85" w:lineRule="exact"/>
        <w:rPr>
          <w:rFonts w:ascii="Times New Roman" w:cs="Times New Roman" w:eastAsia="Times New Roman" w:hAnsi="Times New Roman"/>
          <w:sz w:val="18"/>
          <w:szCs w:val="18"/>
          <w:color w:val="auto"/>
        </w:rPr>
      </w:pPr>
    </w:p>
    <w:p>
      <w:pPr>
        <w:ind w:left="964" w:right="60" w:hanging="532"/>
        <w:spacing w:after="0" w:line="256" w:lineRule="auto"/>
        <w:tabs>
          <w:tab w:leader="none" w:pos="96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no later than one Scheduled Trading Day following any day on which Issuer effects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Shares, give Dealer a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xml:space="preserve">”) if following such repurchase, the number of outstanding Shares as determined on such day is (i) less than 124.3 million (in the case of the first such notice) or (ii) thereafter more than 22.2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repurchase of Shares pursuant to a plan under Rule 10b5-1 under the Exchange Act, Counterparty may elect to satisfy such requirement by promptly giving Dealer written notice of the entry into such plan, the maximum number of Shares that may be repurchased thereunder and the approximate dates or periods during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1" w:lineRule="exact"/>
        <w:rPr>
          <w:sz w:val="20"/>
          <w:szCs w:val="20"/>
          <w:color w:val="auto"/>
        </w:rPr>
      </w:pPr>
    </w:p>
    <w:p>
      <w:pPr>
        <w:ind w:left="964" w:hanging="532"/>
        <w:spacing w:after="0"/>
        <w:tabs>
          <w:tab w:leader="none" w:pos="964" w:val="left"/>
        </w:tabs>
        <w:numPr>
          <w:ilvl w:val="0"/>
          <w:numId w:val="20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136" w:name="page137"/>
    <w:bookmarkEnd w:id="136"/>
    <w:p>
      <w:pPr>
        <w:ind w:left="5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repurchases may occur (with such maximum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commercially reasonable losses (including losses relating to Dealer’s commercially reasonable hedging activities as a consequence of becoming, or of the risk of becoming, a Section 16 “insider”, including without limitation, any forbearance from commercially reasonable hedging activities or cessation of commercially reasonable hedging activities and any commercially reasonable losses in connection therewith with respect to the Transaction), claims, damages, judgments, liabilities and commercially reasonable out-of-pocket expenses (including reasonable attorney’s fees), joint or several, which an Indemnified Person may become subject to, as a result of Counterparty’s failure to provide Dealer with a Repurchase Notice when and in the manner specified in this paragraph, and to reimburse, within 30 days, upon written request, each of such Indemnified Persons for any reasonable legal or other commercially reasonable out-of-pocket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within a commercially reasonable period of time, notify Counterparty in writing, and Counterparty, upon request of the Indemnified Person, shall retain counsel reasonably satisfactory to the Indemnified Person to represent the Indemnified Person and any others Counterparty may designate in such proceeding and shall pay the commercially reasonable and documented out-of-pocket fees and expenses of such counsel related to such proceeding. Counterparty shall be relieved from liability to the extent that any Indemnified Person fails to notify Counterparty within a commercially reasonable period of time of any action commenced against it in respect of which indemnity may be sought hereunder to the extent Counterparty is materially prejudiced as a result thereof.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04" w:lineRule="exact"/>
        <w:rPr>
          <w:sz w:val="20"/>
          <w:szCs w:val="20"/>
          <w:color w:val="auto"/>
        </w:rPr>
      </w:pPr>
    </w:p>
    <w:p>
      <w:pPr>
        <w:ind w:left="540" w:hanging="532"/>
        <w:spacing w:after="0" w:line="261"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 under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85" w:lineRule="exact"/>
        <w:rPr>
          <w:rFonts w:ascii="Times New Roman" w:cs="Times New Roman" w:eastAsia="Times New Roman" w:hAnsi="Times New Roman"/>
          <w:sz w:val="18"/>
          <w:szCs w:val="18"/>
          <w:color w:val="auto"/>
        </w:rPr>
      </w:pPr>
    </w:p>
    <w:p>
      <w:pPr>
        <w:ind w:left="540" w:right="400" w:hanging="532"/>
        <w:spacing w:after="0" w:line="267"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or exchangeable for the Shares) or to raise or depress or otherwise manipulate the price of the Shares (or any security convertible into or exchangeable for the Shares) or otherwise in violation of the Exchange Act.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60" w:top="270" w:right="479" w:bottom="1440" w:gutter="0" w:footer="0" w:header="0"/>
        </w:sectPr>
      </w:pPr>
    </w:p>
    <w:bookmarkStart w:id="137" w:name="page138"/>
    <w:bookmarkEnd w:id="137"/>
    <w:p>
      <w:pPr>
        <w:ind w:left="540" w:hanging="532"/>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or Assignment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right="60" w:hanging="439"/>
        <w:spacing w:after="0" w:line="266" w:lineRule="auto"/>
        <w:tabs>
          <w:tab w:leader="none" w:pos="10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81" w:lineRule="exact"/>
        <w:rPr>
          <w:rFonts w:ascii="Times New Roman" w:cs="Times New Roman" w:eastAsia="Times New Roman" w:hAnsi="Times New Roman"/>
          <w:sz w:val="18"/>
          <w:szCs w:val="18"/>
          <w:color w:val="auto"/>
        </w:rPr>
      </w:pPr>
    </w:p>
    <w:p>
      <w:pPr>
        <w:ind w:left="1540" w:right="360" w:hanging="533"/>
        <w:spacing w:after="0" w:line="282" w:lineRule="auto"/>
        <w:tabs>
          <w:tab w:leader="none" w:pos="15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9(n) or 9(s) of this Confirmation;</w:t>
      </w:r>
    </w:p>
    <w:p>
      <w:pPr>
        <w:spacing w:after="0" w:line="67" w:lineRule="exact"/>
        <w:rPr>
          <w:rFonts w:ascii="Times New Roman" w:cs="Times New Roman" w:eastAsia="Times New Roman" w:hAnsi="Times New Roman"/>
          <w:sz w:val="18"/>
          <w:szCs w:val="18"/>
          <w:color w:val="auto"/>
        </w:rPr>
      </w:pPr>
    </w:p>
    <w:p>
      <w:pPr>
        <w:ind w:left="1540" w:hanging="533"/>
        <w:spacing w:after="0" w:line="258" w:lineRule="auto"/>
        <w:tabs>
          <w:tab w:leader="none" w:pos="15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by and reasonably satisfactory to Dealer;</w:t>
      </w:r>
    </w:p>
    <w:p>
      <w:pPr>
        <w:spacing w:after="0" w:line="88" w:lineRule="exact"/>
        <w:rPr>
          <w:rFonts w:ascii="Times New Roman" w:cs="Times New Roman" w:eastAsia="Times New Roman" w:hAnsi="Times New Roman"/>
          <w:sz w:val="18"/>
          <w:szCs w:val="18"/>
          <w:color w:val="auto"/>
        </w:rPr>
      </w:pPr>
    </w:p>
    <w:p>
      <w:pPr>
        <w:ind w:left="1540" w:right="340" w:hanging="533"/>
        <w:spacing w:after="0" w:line="282" w:lineRule="auto"/>
        <w:tabs>
          <w:tab w:leader="none" w:pos="15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Section 7701(a)(30)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20" w:hanging="533"/>
        <w:spacing w:after="0" w:line="254" w:lineRule="auto"/>
        <w:tabs>
          <w:tab w:leader="none" w:pos="15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such transfer or assignment, Dealer would not, at the time of such transfer and assignment, reasonably be expected to (including, for the avoidance of doubt, after giving effect to any indemnity from the transferee or assignee to Dealer provided in connection with such transfer or assignment), (x) be required to pay or deliver to the transferee or assignee on any payment date or settlement date an amount of cash or number of shares under Section 2(d)(i)(4) of the Agreement greater than the amount that Dealer would have been required to pay or deliver to Counterparty in the absence of such transfer or assignment, or (y) receive from the transferee or assignee on any payment date an amount (taking into account any additional amounts paid under Section 2(d)(i)(4) of the Agreement as well as any withholding or deduction of Tax from the payment) that is less than the amount that Dealer would have received from Counterparty in the absence of such transfer or assignment;</w:t>
      </w:r>
    </w:p>
    <w:p>
      <w:pPr>
        <w:spacing w:after="0" w:line="93"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Potential Event of Default or Termination Event will occur as a result of such transfer or assignment;</w:t>
      </w:r>
    </w:p>
    <w:p>
      <w:pPr>
        <w:spacing w:after="0" w:line="130" w:lineRule="exact"/>
        <w:rPr>
          <w:rFonts w:ascii="Times New Roman" w:cs="Times New Roman" w:eastAsia="Times New Roman" w:hAnsi="Times New Roman"/>
          <w:sz w:val="18"/>
          <w:szCs w:val="18"/>
          <w:color w:val="auto"/>
        </w:rPr>
      </w:pPr>
    </w:p>
    <w:p>
      <w:pPr>
        <w:ind w:left="1540" w:right="280" w:hanging="533"/>
        <w:spacing w:after="0" w:line="261" w:lineRule="auto"/>
        <w:tabs>
          <w:tab w:leader="none" w:pos="15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cause the transferee or assignee to make such Payee Tax Representations and to provide a duly executed and complete United States Internal Revenue Service Form W-9 and any other such tax documentation as may be reasonably requested by Dealer to permit Dealer to determine that the results described in clauses (C) and (D) will not occur upon or after such transfer or assignment; and</w:t>
      </w:r>
    </w:p>
    <w:p>
      <w:pPr>
        <w:spacing w:after="0" w:line="85" w:lineRule="exact"/>
        <w:rPr>
          <w:rFonts w:ascii="Times New Roman" w:cs="Times New Roman" w:eastAsia="Times New Roman" w:hAnsi="Times New Roman"/>
          <w:sz w:val="18"/>
          <w:szCs w:val="18"/>
          <w:color w:val="auto"/>
        </w:rPr>
      </w:pPr>
    </w:p>
    <w:p>
      <w:pPr>
        <w:ind w:left="1540" w:right="460" w:hanging="533"/>
        <w:spacing w:after="0" w:line="282" w:lineRule="auto"/>
        <w:tabs>
          <w:tab w:leader="none" w:pos="15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0"/>
          </w:cols>
          <w:pgMar w:left="860" w:top="268" w:right="499" w:bottom="1440" w:gutter="0" w:footer="0" w:header="0"/>
        </w:sectPr>
      </w:pPr>
    </w:p>
    <w:bookmarkStart w:id="138" w:name="page139"/>
    <w:bookmarkEnd w:id="138"/>
    <w:p>
      <w:pPr>
        <w:ind w:left="1424" w:hanging="439"/>
        <w:spacing w:after="0" w:line="247" w:lineRule="auto"/>
        <w:tabs>
          <w:tab w:leader="none" w:pos="14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Dealer may transfer or assign all or any part of its rights or obligations under the Transaction (A) without Counterparty’s consent, to any affiliate or branch of Dealer (1) that has a rating for its long-term, unsecured and unsubordinated indebtedness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w:t>
      </w: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 xml:space="preserve"> or (B) with Counterparty’s consent (such consent not to be unreasonably withheld), to any other recognized dealer in transactions of the same type as the Transaction with a rating for its long-term, unsecured and unsubordinated indebtedness equal to or better than the lesser of (1) the credit rating of Dealer at the time of the transfer or assignment and (2) A- by Standard &amp; Poor’s Financial Services LLC or its successor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or A3 by Moody’s Investor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Dealer may transfer or assign pursuant to this paragraph only if (A) the transferee or assignee is a “dealer in securities” within the meaning of Section 475(c)(1) of the Code, (B) the transfer or assignment will not constitute a “deemed exchange” by Counterparty within the meaning of Section 1001 of the Code, (C) as a result of such transfer or assignment, Counterparty would not, at the time of such transfer and assignment, reasonably be expected to (including, for the avoidance of doubt, after giving effect to any indemnity from the transferee or assignee to Counterparty provided in connection with such transfer or assignment) (x) be required to pay the transferee or assignee on any payment date or settlement date an amount under Section 2(d)(i)(4) of the Agreement greater than the amount that Counterparty would have been required to pay to Dealer in the absence of such transfer or assignment; or (y) receive from the transferee or assignee on any payment date or settlement date an amount (taking into account any additional amounts paid under Section 2(d)(i)(4) of the Agreement as well as any withholding or deduction of Tax from the payment) that is less than the amount that Counterparty would have received from Dealer in the absence of such transfer or assignment, (D) no Event of Default, Potential Event of Default or Termination Event will occur as a result of such transfer or assignment, and (E) Dealer shall cause the transferee or assignee to make such Payee Tax Representations and to provide such tax documentation as may be reasonably requested by Counterparty to permit Counterparty to determine that results described in clause (C) will not occur upon or after such transfer or assignment. If at any time at which (A) the Section 16 Percentage exceeds 9.0%,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w:t>
      </w:r>
    </w:p>
    <w:p>
      <w:pPr>
        <w:spacing w:after="0" w:line="18" w:lineRule="exact"/>
        <w:rPr>
          <w:rFonts w:ascii="Times New Roman" w:cs="Times New Roman" w:eastAsia="Times New Roman" w:hAnsi="Times New Roman"/>
          <w:sz w:val="18"/>
          <w:szCs w:val="18"/>
          <w:color w:val="auto"/>
        </w:rPr>
      </w:pPr>
    </w:p>
    <w:p>
      <w:pPr>
        <w:ind w:left="142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Counterparty were the sole Affected Party with respect to such partial termination and (3) the Terminated Portion were the sole Affected Transaction (and, for the avoidance of doubt, the provisions of Section 9(l) of this Confirmation shall apply to any amount that is payable by Dealer to Counterparty pursuant to this sentence as if Counterparty were not the Affected Party). The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715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1" w:lineRule="exact"/>
        <w:rPr>
          <w:sz w:val="20"/>
          <w:szCs w:val="20"/>
          <w:color w:val="auto"/>
        </w:rPr>
      </w:pPr>
    </w:p>
    <w:p>
      <w:pPr>
        <w:ind w:left="424" w:hanging="424"/>
        <w:spacing w:after="0"/>
        <w:tabs>
          <w:tab w:leader="none" w:pos="424" w:val="left"/>
        </w:tabs>
        <w:numPr>
          <w:ilvl w:val="0"/>
          <w:numId w:val="2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credit support is being provided.</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139" w:name="page140"/>
    <w:bookmarkEnd w:id="139"/>
    <w:p>
      <w:pPr>
        <w:ind w:left="10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means a number of Shares equal to</w:t>
      </w:r>
    </w:p>
    <w:p>
      <w:pPr>
        <w:spacing w:after="0" w:line="5" w:lineRule="exact"/>
        <w:rPr>
          <w:sz w:val="20"/>
          <w:szCs w:val="20"/>
          <w:color w:val="auto"/>
        </w:rPr>
      </w:pPr>
    </w:p>
    <w:p>
      <w:pPr>
        <w:ind w:left="1000" w:right="20" w:firstLine="7"/>
        <w:spacing w:after="0" w:line="252" w:lineRule="auto"/>
        <w:tabs>
          <w:tab w:leader="none" w:pos="1295"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minimum number of Shares that, in Dealer’s reasonable judgment based on advice of counsel, could give rise to reporting or registration obligations (except for filings on Form 13F, Schedule 13D or Schedule 13G, in each case, as in effect on the Trade Date) or other requirements (including obtaining prior approval from any person or entity) of a Dealer Person, or could reasonably be expected to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 Dealer shall provide Counterparty with written notice of any transfer or assignment on the date of or as promptly as practicable after the date of such transfer or assignment.</w:t>
      </w:r>
    </w:p>
    <w:p>
      <w:pPr>
        <w:spacing w:after="0" w:line="95" w:lineRule="exact"/>
        <w:rPr>
          <w:rFonts w:ascii="Times New Roman" w:cs="Times New Roman" w:eastAsia="Times New Roman" w:hAnsi="Times New Roman"/>
          <w:sz w:val="18"/>
          <w:szCs w:val="18"/>
          <w:color w:val="auto"/>
        </w:rPr>
      </w:pPr>
    </w:p>
    <w:p>
      <w:pPr>
        <w:ind w:left="1000" w:right="20" w:hanging="439"/>
        <w:spacing w:after="0" w:line="258" w:lineRule="auto"/>
        <w:tabs>
          <w:tab w:leader="none" w:pos="10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86" w:lineRule="exact"/>
        <w:rPr>
          <w:rFonts w:ascii="Times New Roman" w:cs="Times New Roman" w:eastAsia="Times New Roman" w:hAnsi="Times New Roman"/>
          <w:sz w:val="18"/>
          <w:szCs w:val="18"/>
          <w:color w:val="auto"/>
        </w:rPr>
      </w:pPr>
    </w:p>
    <w:p>
      <w:pPr>
        <w:ind w:left="540" w:right="20" w:hanging="532"/>
        <w:spacing w:after="0" w:line="258" w:lineRule="auto"/>
        <w:tabs>
          <w:tab w:leader="none" w:pos="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90" w:lineRule="exact"/>
        <w:rPr>
          <w:rFonts w:ascii="Times New Roman" w:cs="Times New Roman" w:eastAsia="Times New Roman" w:hAnsi="Times New Roman"/>
          <w:sz w:val="18"/>
          <w:szCs w:val="18"/>
          <w:color w:val="auto"/>
        </w:rPr>
      </w:pPr>
    </w:p>
    <w:p>
      <w:pPr>
        <w:ind w:left="1000" w:right="80" w:hanging="439"/>
        <w:spacing w:after="0" w:line="282" w:lineRule="auto"/>
        <w:tabs>
          <w:tab w:leader="none" w:pos="10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such Nominal Settlement Date) and the number of Shares that it will deliver on each Staggered Settlement Date;</w:t>
      </w:r>
    </w:p>
    <w:p>
      <w:pPr>
        <w:spacing w:after="0" w:line="67" w:lineRule="exact"/>
        <w:rPr>
          <w:sz w:val="20"/>
          <w:szCs w:val="20"/>
          <w:color w:val="auto"/>
        </w:rPr>
      </w:pPr>
    </w:p>
    <w:p>
      <w:pPr>
        <w:ind w:left="1000" w:right="40" w:hanging="439"/>
        <w:spacing w:after="0" w:line="282" w:lineRule="auto"/>
        <w:tabs>
          <w:tab w:leader="none" w:pos="10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67" w:lineRule="exact"/>
        <w:rPr>
          <w:rFonts w:ascii="Times New Roman" w:cs="Times New Roman" w:eastAsia="Times New Roman" w:hAnsi="Times New Roman"/>
          <w:sz w:val="18"/>
          <w:szCs w:val="18"/>
          <w:color w:val="auto"/>
        </w:rPr>
      </w:pPr>
    </w:p>
    <w:p>
      <w:pPr>
        <w:ind w:left="1000" w:right="260" w:hanging="439"/>
        <w:spacing w:after="0" w:line="261" w:lineRule="auto"/>
        <w:tabs>
          <w:tab w:leader="none" w:pos="10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8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0"/>
          </w:cols>
          <w:pgMar w:left="860" w:top="270" w:right="459" w:bottom="1440" w:gutter="0" w:footer="0" w:header="0"/>
        </w:sectPr>
      </w:pPr>
    </w:p>
    <w:bookmarkStart w:id="140" w:name="page141"/>
    <w:bookmarkEnd w:id="140"/>
    <w:p>
      <w:pPr>
        <w:ind w:left="964" w:right="280" w:hanging="532"/>
        <w:spacing w:after="0" w:line="272" w:lineRule="auto"/>
        <w:tabs>
          <w:tab w:leader="none" w:pos="9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1424" w:right="80" w:hanging="439"/>
        <w:spacing w:after="0" w:line="312" w:lineRule="auto"/>
        <w:tabs>
          <w:tab w:leader="none" w:pos="1424"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Confirmation, upon any Early Conversion in respect of which a Notice of Conversion that is effective as to Counterparty has been delivered by the relevant converting “Holder” (as defined in the Indenture):</w:t>
      </w:r>
    </w:p>
    <w:p>
      <w:pPr>
        <w:spacing w:after="0" w:line="45" w:lineRule="exact"/>
        <w:rPr>
          <w:rFonts w:ascii="Times New Roman" w:cs="Times New Roman" w:eastAsia="Times New Roman" w:hAnsi="Times New Roman"/>
          <w:sz w:val="17"/>
          <w:szCs w:val="17"/>
          <w:color w:val="auto"/>
        </w:rPr>
      </w:pPr>
    </w:p>
    <w:p>
      <w:pPr>
        <w:ind w:left="1964" w:hanging="533"/>
        <w:spacing w:after="0" w:line="258" w:lineRule="auto"/>
        <w:tabs>
          <w:tab w:leader="none" w:pos="1964"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within ten Scheduled Trading Days of the “Conversion Date” (as defined in the Indenture)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Notes surrendered for conversion on such Conversion Date (such Convertible Notes, the “</w:t>
      </w:r>
      <w:r>
        <w:rPr>
          <w:rFonts w:ascii="Times New Roman" w:cs="Times New Roman" w:eastAsia="Times New Roman" w:hAnsi="Times New Roman"/>
          <w:sz w:val="18"/>
          <w:szCs w:val="18"/>
          <w:b w:val="1"/>
          <w:bCs w:val="1"/>
          <w:color w:val="auto"/>
        </w:rPr>
        <w:t>Affected Convertible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“Early Conversion Notice” delivered to Dealer pursuant to the Base Call Option Confirmation shall be deemed to be an Early Conversion Notice pursuant to this Confirmation and the terms of such Early Conversion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964" w:right="160" w:hanging="533"/>
        <w:spacing w:after="0" w:line="258" w:lineRule="auto"/>
        <w:tabs>
          <w:tab w:leader="none" w:pos="1964"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 Early Conversion Notice pursuant to subclause (A) above shall constitute an Additional Termination Event as provided in this Section 9(i)(i);</w:t>
      </w:r>
    </w:p>
    <w:p>
      <w:pPr>
        <w:spacing w:after="0" w:line="88" w:lineRule="exact"/>
        <w:rPr>
          <w:rFonts w:ascii="Times New Roman" w:cs="Times New Roman" w:eastAsia="Times New Roman" w:hAnsi="Times New Roman"/>
          <w:sz w:val="18"/>
          <w:szCs w:val="18"/>
          <w:color w:val="auto"/>
        </w:rPr>
      </w:pPr>
    </w:p>
    <w:p>
      <w:pPr>
        <w:ind w:left="1964" w:hanging="533"/>
        <w:spacing w:after="0" w:line="242" w:lineRule="auto"/>
        <w:tabs>
          <w:tab w:leader="none" w:pos="1964"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Early Conversion Notice, Dealer shall designate an Exchange Business Day as an Early Termination Date (which Exchange Business Day shall be on or as promptly as reasonably practicable after the related settlement date for the conversion of such Affected Convertible Notes)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Notes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Convertible Notes (and for the purposes of determining whether any Options under this Confirmation or under the Base Call Option Confirmation will be among the Affected Number of Options hereunder or under, and as defined in, the Base Call Option Confirmation, the Affected Convertible Notes specified in such Early Conversion Notice shall be allocated first to the Base Call Option Confirmation until all Options thereunder are exercised or terminated)]</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 xml:space="preserve"> and (y) the Number of Options as of the “Conversion Date” (as defined in the Indenture) for such Early Conversion;</w:t>
      </w:r>
    </w:p>
    <w:p>
      <w:pPr>
        <w:spacing w:after="0" w:line="101"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hereunder with respect to such termination shall be calculated pursuant to Section 6 of the Agreement as if</w:t>
      </w:r>
    </w:p>
    <w:p>
      <w:pPr>
        <w:spacing w:after="0" w:line="27" w:lineRule="exact"/>
        <w:rPr>
          <w:rFonts w:ascii="Times New Roman" w:cs="Times New Roman" w:eastAsia="Times New Roman" w:hAnsi="Times New Roman"/>
          <w:sz w:val="18"/>
          <w:szCs w:val="18"/>
          <w:color w:val="auto"/>
        </w:rPr>
      </w:pPr>
    </w:p>
    <w:p>
      <w:pPr>
        <w:ind w:left="196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amount payable with respect to such termination shall not be greater than (1) the Applicable Percentage,</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(2) the Affected Number of Options,</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(3) (x) the sum, per each $1,000 principal amount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Convertible Note, of (i) the amount of cash paid (if any) to the “Holder”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7" w:lineRule="exact"/>
        <w:rPr>
          <w:sz w:val="20"/>
          <w:szCs w:val="20"/>
          <w:color w:val="auto"/>
        </w:rPr>
      </w:pPr>
    </w:p>
    <w:p>
      <w:pPr>
        <w:ind w:left="424" w:hanging="424"/>
        <w:spacing w:after="0"/>
        <w:tabs>
          <w:tab w:leader="none" w:pos="424" w:val="left"/>
        </w:tabs>
        <w:numPr>
          <w:ilvl w:val="0"/>
          <w:numId w:val="2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in Additional Call Option Confirmation only.</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8" w:right="459" w:bottom="1440" w:gutter="0" w:footer="0" w:header="0"/>
        </w:sectPr>
      </w:pPr>
    </w:p>
    <w:bookmarkStart w:id="141" w:name="page142"/>
    <w:bookmarkEnd w:id="141"/>
    <w:p>
      <w:pPr>
        <w:ind w:left="9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is defined in the Indenture) of an Affected Convertible Note upon conversion of such Affected Convertible Note and</w:t>
      </w:r>
    </w:p>
    <w:p>
      <w:pPr>
        <w:spacing w:after="0" w:line="27" w:lineRule="exact"/>
        <w:rPr>
          <w:sz w:val="20"/>
          <w:szCs w:val="20"/>
          <w:color w:val="auto"/>
        </w:rPr>
      </w:pPr>
    </w:p>
    <w:p>
      <w:pPr>
        <w:jc w:val="both"/>
        <w:ind w:left="979" w:right="80" w:firstLine="7"/>
        <w:spacing w:after="0" w:line="265" w:lineRule="auto"/>
        <w:tabs>
          <w:tab w:leader="none" w:pos="1243"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product of (I) the number of Shares delivered (if any) to the “Holder” (as such term is defined in the Indenture) of an Affected Convertible Note upon conversion of such Affected Convertible Note,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Applicable Limit Price on the settlement date for the conversion of such Affected Convertible Note (the “</w:t>
      </w:r>
      <w:r>
        <w:rPr>
          <w:rFonts w:ascii="Times New Roman" w:cs="Times New Roman" w:eastAsia="Times New Roman" w:hAnsi="Times New Roman"/>
          <w:sz w:val="17"/>
          <w:szCs w:val="17"/>
          <w:b w:val="1"/>
          <w:bCs w:val="1"/>
          <w:color w:val="auto"/>
        </w:rPr>
        <w:t>Conversion Settlement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minus</w:t>
      </w:r>
    </w:p>
    <w:p>
      <w:pPr>
        <w:ind w:left="979" w:right="20" w:firstLine="7"/>
        <w:spacing w:after="0" w:line="251" w:lineRule="auto"/>
        <w:tabs>
          <w:tab w:leader="none" w:pos="123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Synthetic Instrument Adjusted Issue Price per Convertible Note, as determined by the Calculation Agent in good faith and in a commercially reasonable manner based on the Affected Unwind Date (as defined below) with respect to the relevant Affected Number of Options. “</w:t>
      </w:r>
      <w:r>
        <w:rPr>
          <w:rFonts w:ascii="Times New Roman" w:cs="Times New Roman" w:eastAsia="Times New Roman" w:hAnsi="Times New Roman"/>
          <w:sz w:val="18"/>
          <w:szCs w:val="18"/>
          <w:b w:val="1"/>
          <w:bCs w:val="1"/>
          <w:color w:val="auto"/>
        </w:rPr>
        <w:t>Synthetic Instrument Adjusted Issue Price per Convertible Note</w:t>
      </w:r>
      <w:r>
        <w:rPr>
          <w:rFonts w:ascii="Times New Roman" w:cs="Times New Roman" w:eastAsia="Times New Roman" w:hAnsi="Times New Roman"/>
          <w:sz w:val="18"/>
          <w:szCs w:val="18"/>
          <w:color w:val="auto"/>
        </w:rPr>
        <w:t>” shall mean the amount determined by the Calculation Agent by reference to the table set forth below (the “</w:t>
      </w:r>
      <w:r>
        <w:rPr>
          <w:rFonts w:ascii="Times New Roman" w:cs="Times New Roman" w:eastAsia="Times New Roman" w:hAnsi="Times New Roman"/>
          <w:sz w:val="18"/>
          <w:szCs w:val="18"/>
          <w:b w:val="1"/>
          <w:bCs w:val="1"/>
          <w:color w:val="auto"/>
        </w:rPr>
        <w:t>Synthetic Instrument AIP Table</w:t>
      </w:r>
      <w:r>
        <w:rPr>
          <w:rFonts w:ascii="Times New Roman" w:cs="Times New Roman" w:eastAsia="Times New Roman" w:hAnsi="Times New Roman"/>
          <w:sz w:val="18"/>
          <w:szCs w:val="18"/>
          <w:color w:val="auto"/>
        </w:rPr>
        <w:t>”) based on the Conversion Settlement Date with respect to the relevant Affected Number of Options (the “</w:t>
      </w:r>
      <w:r>
        <w:rPr>
          <w:rFonts w:ascii="Times New Roman" w:cs="Times New Roman" w:eastAsia="Times New Roman" w:hAnsi="Times New Roman"/>
          <w:sz w:val="18"/>
          <w:szCs w:val="18"/>
          <w:b w:val="1"/>
          <w:bCs w:val="1"/>
          <w:color w:val="auto"/>
        </w:rPr>
        <w:t>Affected Unwind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If the Affected Unwind Date is not listed in the Synthetic Instrument AIP Table, the amount in the preceding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sentence shall be determined by the Calculation Agent by reference to the Synthetic Instrument AIP Table using a linear interpolation between the lower and higher Synthetic Instrument Adjusted Issue Prices per Convertible Note for the dates immediately preceding and immediately following the Affected Unwind Date. For the avoidance of doubt, any payment pursuant to this paragraph shall be subject to Section 9(l) of the Confirmation;</w:t>
      </w:r>
    </w:p>
    <w:p>
      <w:pPr>
        <w:spacing w:after="0" w:line="201" w:lineRule="exact"/>
        <w:rPr>
          <w:sz w:val="20"/>
          <w:szCs w:val="20"/>
          <w:color w:val="auto"/>
        </w:rPr>
      </w:pPr>
    </w:p>
    <w:tbl>
      <w:tblPr>
        <w:tblLayout w:type="fixed"/>
        <w:tblInd w:w="779" w:type="dxa"/>
        <w:tblCellMar>
          <w:top w:w="0" w:type="dxa"/>
          <w:left w:w="0" w:type="dxa"/>
          <w:bottom w:w="0" w:type="dxa"/>
          <w:right w:w="0" w:type="dxa"/>
        </w:tblCellMar>
      </w:tblPr>
      <w:tr>
        <w:trPr>
          <w:trHeight w:val="161"/>
        </w:trPr>
        <w:tc>
          <w:tcPr>
            <w:tcW w:w="544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Affected Unwind Date</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Synthetic Instrument Adjusted</w:t>
            </w:r>
          </w:p>
        </w:tc>
        <w:tc>
          <w:tcPr>
            <w:tcW w:w="0" w:type="dxa"/>
            <w:vAlign w:val="bottom"/>
          </w:tcPr>
          <w:p>
            <w:pPr>
              <w:spacing w:after="0"/>
              <w:rPr>
                <w:sz w:val="1"/>
                <w:szCs w:val="1"/>
                <w:color w:val="auto"/>
              </w:rPr>
            </w:pPr>
          </w:p>
        </w:tc>
      </w:tr>
      <w:tr>
        <w:trPr>
          <w:trHeight w:val="173"/>
        </w:trPr>
        <w:tc>
          <w:tcPr>
            <w:tcW w:w="5440" w:type="dxa"/>
            <w:vAlign w:val="bottom"/>
            <w:gridSpan w:val="2"/>
            <w:vMerge w:val="continue"/>
          </w:tcPr>
          <w:p>
            <w:pPr>
              <w:spacing w:after="0"/>
              <w:rPr>
                <w:sz w:val="15"/>
                <w:szCs w:val="15"/>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Issue Price per Convertible Note</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22, 2026</w:t>
            </w:r>
          </w:p>
        </w:tc>
        <w:tc>
          <w:tcPr>
            <w:tcW w:w="10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 925.80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2027</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USD 933.29</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2027</w:t>
            </w:r>
          </w:p>
        </w:tc>
        <w:tc>
          <w:tcPr>
            <w:tcW w:w="2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USD 940.47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2028</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USD 947.72</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2028</w:t>
            </w:r>
          </w:p>
        </w:tc>
        <w:tc>
          <w:tcPr>
            <w:tcW w:w="2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USD 955.02</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2029</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USD 962.37</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2029</w:t>
            </w:r>
          </w:p>
        </w:tc>
        <w:tc>
          <w:tcPr>
            <w:tcW w:w="2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USD 969.78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2030</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USD 977.25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2030</w:t>
            </w:r>
          </w:p>
        </w:tc>
        <w:tc>
          <w:tcPr>
            <w:tcW w:w="2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USD 984.78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2031</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USD 992.36</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2031</w:t>
            </w:r>
          </w:p>
        </w:tc>
        <w:tc>
          <w:tcPr>
            <w:tcW w:w="2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USD 1,000.00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79" w:right="100" w:hanging="533"/>
        <w:spacing w:after="0" w:line="258" w:lineRule="auto"/>
        <w:tabs>
          <w:tab w:leader="none" w:pos="97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88" w:lineRule="exact"/>
        <w:rPr>
          <w:rFonts w:ascii="Times New Roman" w:cs="Times New Roman" w:eastAsia="Times New Roman" w:hAnsi="Times New Roman"/>
          <w:sz w:val="18"/>
          <w:szCs w:val="18"/>
          <w:color w:val="auto"/>
        </w:rPr>
      </w:pPr>
    </w:p>
    <w:p>
      <w:pPr>
        <w:ind w:left="979" w:right="20" w:hanging="533"/>
        <w:spacing w:after="0" w:line="282" w:lineRule="auto"/>
        <w:tabs>
          <w:tab w:leader="none" w:pos="97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 (as defined in the Indenture) for such Early Conversion, the Number of Options shall be reduced by the Affected Number of Options.</w:t>
      </w:r>
    </w:p>
    <w:p>
      <w:pPr>
        <w:spacing w:after="0" w:line="67" w:lineRule="exact"/>
        <w:rPr>
          <w:rFonts w:ascii="Times New Roman" w:cs="Times New Roman" w:eastAsia="Times New Roman" w:hAnsi="Times New Roman"/>
          <w:sz w:val="18"/>
          <w:szCs w:val="18"/>
          <w:color w:val="auto"/>
        </w:rPr>
      </w:pPr>
    </w:p>
    <w:p>
      <w:pPr>
        <w:ind w:left="439" w:hanging="439"/>
        <w:spacing w:after="0" w:line="256" w:lineRule="auto"/>
        <w:tabs>
          <w:tab w:leader="none" w:pos="43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if an event of default with respect to Counterparty occurs under the terms of the Convertible Notes as set forth in Section 7.01(A) of the Indenture and the Convertible Notes are declared due and payable as a result thereof, then such acceleration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120"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19"/>
          </w:cols>
          <w:pgMar w:left="1421" w:top="270" w:right="459" w:bottom="1440" w:gutter="0" w:footer="0" w:header="0"/>
        </w:sectPr>
      </w:pPr>
    </w:p>
    <w:bookmarkStart w:id="142" w:name="page143"/>
    <w:bookmarkEnd w:id="142"/>
    <w:p>
      <w:pPr>
        <w:ind w:left="1424" w:hanging="439"/>
        <w:spacing w:after="0"/>
        <w:tabs>
          <w:tab w:leader="none" w:pos="14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424" w:hanging="439"/>
        <w:spacing w:after="0" w:line="244" w:lineRule="auto"/>
        <w:tabs>
          <w:tab w:leader="none" w:pos="14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Scheduled Trading Days following any Repayment Event (as defined below), Counterparty (i) shall (solely to the extent that such Repayment Event results directly from a “Fundamental Change” (as defined in the Indenture) or pursuant to a “Redemption” (as defined in the Indenture)), and (ii) otherwise may, but shall not be obligated to, notify Dealer of such Repayment Event and the aggregate principal amount of Convertible Notes subject to such Repayment Event (any such notice, a “</w:t>
      </w:r>
      <w:r>
        <w:rPr>
          <w:rFonts w:ascii="Times New Roman" w:cs="Times New Roman" w:eastAsia="Times New Roman" w:hAnsi="Times New Roman"/>
          <w:sz w:val="18"/>
          <w:szCs w:val="18"/>
          <w:b w:val="1"/>
          <w:bCs w:val="1"/>
          <w:color w:val="auto"/>
        </w:rPr>
        <w:t>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in the case of (ii) only, such Repayment Notice shall contain the representation and warranty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Counterparty is not, on the date thereof, aware of any material non-public information with respect to Issuer or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“Repayment Notice” delivered to Dealer pursuant to the Base Call Option Confirmation shall be deemed to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Repayment Notice pursuant to this Confirmation and the terms of such Repayment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8"/>
          <w:szCs w:val="18"/>
          <w:color w:val="auto"/>
        </w:rPr>
        <w:t>. The receipt by Dealer from Counterparty of any Repayment Notice, within the applicable time period set forth in the preceding sentence, shall constitute an Additional Termination Event as provided in this paragraph, it being understood that no Repayment Event shall constitute an Additional Termination Event hereunder unless Dealer has so received such Repayment Notice. Upon receipt of any such Repayment Notice, Dealer shall designate an Exchange Business Day following receipt of such Repayment Notice (which Exchange Business Day shall be on or as promptly as reasonably practicable after the related repurchase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Repayment Options</w:t>
      </w:r>
      <w:r>
        <w:rPr>
          <w:rFonts w:ascii="Times New Roman" w:cs="Times New Roman" w:eastAsia="Times New Roman" w:hAnsi="Times New Roman"/>
          <w:sz w:val="18"/>
          <w:szCs w:val="18"/>
          <w:color w:val="auto"/>
        </w:rPr>
        <w:t xml:space="preserve">”) equal to the lesser of (A) [(x)] the aggregate principal amount of such Convertible Notes specified in such Repayment Notice,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USD 1,000,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number of “Repayment Options” (as defined in the Base Call Option Confirmation), if any, that relate to such Convertible Notes (and for the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8"/>
          <w:szCs w:val="18"/>
          <w:b w:val="1"/>
          <w:bCs w:val="1"/>
          <w:color w:val="auto"/>
        </w:rPr>
        <w:t>Repayment Unwind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shall be calculated pursuant to Section 6 of the Agreement as if (1) an Early Termination Date had been designated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 Repayment Event resulting directly from a “Fundamental Change” (as defined in the Indenture) or pursuant to a “Redemption” (as defined in the Indenture), the Repayment Unwind Payment shall not be greater than (x) the number of Repayment Options,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product of (A) the Applicable Percentage and (B)(I) the amount paid by Counterparty per Convertible Note in connection with the relevant Repayment Event pursuant to the relevant section of the Indenture,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Synthetic Instrument Adjusted Issue Price per Convertible Note determined by the Calculation Agent by reference to the Synthetic Instrument AIP Table based on the date of the Repayment Event (the “</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as if such Repayment Date were the Affected Unwind Date. If the relevant Repayment Date is not listed in the Synthetic Instrument AIP Table, the amount in the preceding sentence shall be determined by the Calculation Agent by reference to the Synthetic Instrument AIP Table using a linear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715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5" w:lineRule="exact"/>
        <w:rPr>
          <w:sz w:val="20"/>
          <w:szCs w:val="20"/>
          <w:color w:val="auto"/>
        </w:rPr>
      </w:pPr>
    </w:p>
    <w:p>
      <w:pPr>
        <w:ind w:left="424" w:hanging="424"/>
        <w:spacing w:after="0"/>
        <w:tabs>
          <w:tab w:leader="none" w:pos="424" w:val="left"/>
        </w:tabs>
        <w:numPr>
          <w:ilvl w:val="0"/>
          <w:numId w:val="2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Additional Call Option Confirmation.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8" w:right="459" w:bottom="1440" w:gutter="0" w:footer="0" w:header="0"/>
        </w:sectPr>
      </w:pPr>
    </w:p>
    <w:bookmarkStart w:id="143" w:name="page144"/>
    <w:bookmarkEnd w:id="143"/>
    <w:p>
      <w:pPr>
        <w:ind w:left="100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interpolation between the lower and higher Synthetic Instrument Adjusted Issue Prices per Convertible Note for the dates immediately preceding and immediately following the relevant Repayment Date. For the avoidance of doubt, solely for purposes of calculating the Repayment Unwind Payment, Dealer shall assume that (x) the relevant Repayment Event (and, if applicable, the related “Fundamental Change” (as defined in the Indenture) and the announcement of such “Fundamental Change” (as defined in the Indenture)) had not occurred, (y) no adjustments to the Conversion Rate have occurred pursuant to any Excluded Provision and</w:t>
      </w:r>
    </w:p>
    <w:p>
      <w:pPr>
        <w:spacing w:after="0" w:line="3" w:lineRule="exact"/>
        <w:rPr>
          <w:sz w:val="20"/>
          <w:szCs w:val="20"/>
          <w:color w:val="auto"/>
        </w:rPr>
      </w:pPr>
    </w:p>
    <w:p>
      <w:pPr>
        <w:ind w:left="1000" w:right="60" w:firstLine="7"/>
        <w:spacing w:after="0" w:line="251" w:lineRule="auto"/>
        <w:tabs>
          <w:tab w:leader="none" w:pos="1245"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corresponding Convertible Notes remain outstanding.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Convertible Notes are repurchased and cancelled in accordance with the Indenture (whether in connection with or as a result of a “Fundamental Change” (as defined in the Indenture), upon redemption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(for any reason other than as a result of an acceleration of the Convertible Notes that results in an Additional Termination Event pursuant to the preceding Section 9(i)(ii)), or (iv) any Convertible Notes are exchanged by or for the benefit of the holders thereof for any other securities of Counterparty or any of its subsidiaries (or any other property, or any combination thereof) pursuant to any exchange offer or similar transaction. For the avoidance of doubt, any conversion of Convertible Notes (whether into cash, Shares, reference property or any combination thereof) pursuant to the terms of the Indenture shall not constitute a Repayment Event. Counterparty acknowledges its responsibilities under applicable securities laws, including, in particular, Sections 9 and 10(b) of the Exchange Act and the rules and regulations thereunder in respect of the Repayment Event, including, without limitation, the delivery of a Repayment Notice pursuant to clause (i) of the first sentence of this Section 9(i)(iv).</w:t>
      </w:r>
    </w:p>
    <w:p>
      <w:pPr>
        <w:spacing w:after="0" w:line="97" w:lineRule="exact"/>
        <w:rPr>
          <w:rFonts w:ascii="Times New Roman" w:cs="Times New Roman" w:eastAsia="Times New Roman" w:hAnsi="Times New Roman"/>
          <w:sz w:val="18"/>
          <w:szCs w:val="18"/>
          <w:color w:val="auto"/>
        </w:rPr>
      </w:pPr>
    </w:p>
    <w:p>
      <w:pPr>
        <w:ind w:left="1000" w:right="120" w:hanging="439"/>
        <w:spacing w:after="0" w:line="255" w:lineRule="auto"/>
        <w:tabs>
          <w:tab w:leader="none" w:pos="10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shall be an Additional Termination Event with respect to which Counterparty shall be the sole Affected Party and the Transaction shall be the sole Affected Transaction: The conditions specified in Section 3 (the “</w:t>
      </w:r>
      <w:r>
        <w:rPr>
          <w:rFonts w:ascii="Times New Roman" w:cs="Times New Roman" w:eastAsia="Times New Roman" w:hAnsi="Times New Roman"/>
          <w:sz w:val="18"/>
          <w:szCs w:val="18"/>
          <w:b w:val="1"/>
          <w:bCs w:val="1"/>
          <w:color w:val="auto"/>
        </w:rPr>
        <w:t>Conditions Subsequent</w:t>
      </w:r>
      <w:r>
        <w:rPr>
          <w:rFonts w:ascii="Times New Roman" w:cs="Times New Roman" w:eastAsia="Times New Roman" w:hAnsi="Times New Roman"/>
          <w:sz w:val="18"/>
          <w:szCs w:val="18"/>
          <w:color w:val="auto"/>
        </w:rPr>
        <w:t>”) of the Waiver Agreement, dated June 15, 2026, by and among the Company, OrbiMed Royalty &amp; Credit Opportunities IV, LP. and each other purchaser party thereto (waiving certain provision of the Revenue Agreement) have not all been satisfied on or prior to the Premium Payment Date. The parties hereto agree and acknowledge that Dealer shall disregard clause (x) of Section 9(bb) of this Confirmation when determining the Early Termination Amount payable in connection with an Additional Termination Event pursuant to this clause (v).</w:t>
      </w:r>
    </w:p>
    <w:p>
      <w:pPr>
        <w:spacing w:after="0" w:line="80" w:lineRule="exact"/>
        <w:rPr>
          <w:rFonts w:ascii="Times New Roman" w:cs="Times New Roman" w:eastAsia="Times New Roman" w:hAnsi="Times New Roman"/>
          <w:sz w:val="18"/>
          <w:szCs w:val="18"/>
          <w:color w:val="auto"/>
        </w:rPr>
      </w:pPr>
    </w:p>
    <w:p>
      <w:pPr>
        <w:ind w:left="1000" w:righ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Agreement” means that certain Revenue Interest Purchase Agreement, dated as of September 12, 2022, by and among Counterparty, the Purchasers from time to time party thereto and OrbiMed Royalty &amp; Credit Opportunities IV, LP, as Purchaser Agent (as amended or otherwise modified from time to time).</w:t>
      </w:r>
    </w:p>
    <w:p>
      <w:pPr>
        <w:spacing w:after="0" w:line="7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hanging="439"/>
        <w:spacing w:after="0" w:line="277" w:lineRule="auto"/>
        <w:tabs>
          <w:tab w:leader="none" w:pos="100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the Options;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event is not based on (a) an observable market, other than the market for the Shares or (b) an observable index, other than an index calculated or measured solely by reference to the Issuer’s own operations”.</w:t>
      </w:r>
    </w:p>
    <w:p>
      <w:pPr>
        <w:spacing w:after="0" w:line="73" w:lineRule="exact"/>
        <w:rPr>
          <w:sz w:val="20"/>
          <w:szCs w:val="20"/>
          <w:color w:val="auto"/>
        </w:rPr>
      </w:pPr>
    </w:p>
    <w:p>
      <w:pPr>
        <w:ind w:left="1000" w:right="140" w:hanging="439"/>
        <w:spacing w:after="0" w:line="258" w:lineRule="auto"/>
        <w:tabs>
          <w:tab w:leader="none" w:pos="10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 for dismissal, discharge, stay or restraint therein shall be increased from within 15 days to within 30 days”.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600"/>
          </w:cols>
          <w:pgMar w:left="860" w:top="270" w:right="439" w:bottom="1440" w:gutter="0" w:footer="0" w:header="0"/>
        </w:sectPr>
      </w:pPr>
    </w:p>
    <w:bookmarkStart w:id="144" w:name="page145"/>
    <w:bookmarkEnd w:id="144"/>
    <w:p>
      <w:pPr>
        <w:ind w:left="1000" w:hanging="439"/>
        <w:spacing w:after="0"/>
        <w:tabs>
          <w:tab w:leader="none" w:pos="1000"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12.9(b)(i) of the Equity Definitions is hereby amended by (1) replacing “either party may elect” with “Dealer may elect” and</w:t>
      </w:r>
    </w:p>
    <w:p>
      <w:pPr>
        <w:spacing w:after="0" w:line="38"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replacing “notice to the other party” with “notice to Counterparty” in the first sentence of such section.</w:t>
      </w:r>
    </w:p>
    <w:p>
      <w:pPr>
        <w:spacing w:after="0" w:line="112" w:lineRule="exact"/>
        <w:rPr>
          <w:rFonts w:ascii="Times New Roman" w:cs="Times New Roman" w:eastAsia="Times New Roman" w:hAnsi="Times New Roman"/>
          <w:sz w:val="17"/>
          <w:szCs w:val="17"/>
          <w:color w:val="auto"/>
        </w:rPr>
      </w:pPr>
    </w:p>
    <w:p>
      <w:pPr>
        <w:ind w:left="1000" w:hanging="439"/>
        <w:spacing w:after="0" w:line="255" w:lineRule="auto"/>
        <w:tabs>
          <w:tab w:leader="none" w:pos="10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and acknowledge than any transaction or event that would have been (x) a Transformative Transaction if the Transformative Transaction Percentage were less than 35% or (y) a Tender Offer if the Tender Offer Percentage were less than 25%, as the case may be, shall not constitute a Potential Adjustment Event (as such term is defined in the Equity Definitions) as set forth in Section 11.2(e)(vii) of the Equity Definitions. The parties hereto further agree and acknowledge that the transfer of the assets and liabilities of the Issuer’s Immune Medicine business into a subsidiary of the Issuer and the sale (directly or indirectly) of all or a part of such subsidiary and/or such assets or liabilities shall not constitute a Potential Adjustment Event (as such term is defined in the Equity Definitions).</w:t>
      </w:r>
    </w:p>
    <w:p>
      <w:pPr>
        <w:spacing w:after="0" w:line="94" w:lineRule="exact"/>
        <w:rPr>
          <w:rFonts w:ascii="Times New Roman" w:cs="Times New Roman" w:eastAsia="Times New Roman" w:hAnsi="Times New Roman"/>
          <w:sz w:val="18"/>
          <w:szCs w:val="18"/>
          <w:color w:val="auto"/>
        </w:rPr>
      </w:pPr>
    </w:p>
    <w:p>
      <w:pPr>
        <w:ind w:left="1000" w:right="60" w:hanging="439"/>
        <w:spacing w:after="0" w:line="269" w:lineRule="auto"/>
        <w:tabs>
          <w:tab w:leader="none" w:pos="1000"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agree and acknowledge that any Exempted Repurchase shall not constitute a Potential Adjustment Event or Tender Offer (as each such term is defined in the Equity Definitions). “</w:t>
      </w:r>
      <w:r>
        <w:rPr>
          <w:rFonts w:ascii="Times New Roman" w:cs="Times New Roman" w:eastAsia="Times New Roman" w:hAnsi="Times New Roman"/>
          <w:sz w:val="17"/>
          <w:szCs w:val="17"/>
          <w:b w:val="1"/>
          <w:bCs w:val="1"/>
          <w:color w:val="auto"/>
        </w:rPr>
        <w:t>Exempted Repurchase</w:t>
      </w:r>
      <w:r>
        <w:rPr>
          <w:rFonts w:ascii="Times New Roman" w:cs="Times New Roman" w:eastAsia="Times New Roman" w:hAnsi="Times New Roman"/>
          <w:sz w:val="17"/>
          <w:szCs w:val="17"/>
          <w:color w:val="auto"/>
        </w:rPr>
        <w:t>” means (1) any open market Share repurchase at prevailing market prices (including, without limitation, any discount to average VWAP prices), (2) any privately negotiated Share repurchases entered into outside of an exchange, (3) any Share repurchase through a dealer pursuant to accelerated share repurchases, forward contracts or similar transactions that is entered into at prevailing market prices (including, without limitation, any discount to average VWAP prices) and in accordance with customary market terms for transactions of such type to repurchase the Shares or (4) any reacquisition of Shares pursuant to Counterparty’s employee incentive plans in connection with the related equity transactions, or Counterparty’s withholding of Shares to cover tax liabilities associated with such equity transactions, so long as, in the case of each of clause (1) to (3), such repurchase or transaction would not reduce the number of total Shares outstanding to be less than 127,051,944 Shares, as determined by Calculation Agent and as adjusted by the Calculation Agent to account for any event described in Section 11.2(e)(i), Section 11.2(e)(ii)(A) or Section 11.2(E)(ii)(B) of the Equity Definitions.</w:t>
      </w:r>
    </w:p>
    <w:p>
      <w:pPr>
        <w:spacing w:after="0" w:line="85" w:lineRule="exact"/>
        <w:rPr>
          <w:rFonts w:ascii="Times New Roman" w:cs="Times New Roman" w:eastAsia="Times New Roman" w:hAnsi="Times New Roman"/>
          <w:sz w:val="17"/>
          <w:szCs w:val="17"/>
          <w:color w:val="auto"/>
        </w:rPr>
      </w:pPr>
    </w:p>
    <w:p>
      <w:pPr>
        <w:ind w:left="540" w:hanging="532"/>
        <w:spacing w:after="0" w:line="261"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Setoff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any provision of the Agreement and this Confirmation (including without limitation this Section 9(k))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the parties to the contrary, each party waives any and all rights it may have to set off obligations arising under the Agreement and the Transaction against other obligations between the parties, whether arising under any other agreement, applicable law or otherwise.</w:t>
      </w:r>
    </w:p>
    <w:p>
      <w:pPr>
        <w:spacing w:after="0" w:line="85" w:lineRule="exact"/>
        <w:rPr>
          <w:rFonts w:ascii="Times New Roman" w:cs="Times New Roman" w:eastAsia="Times New Roman" w:hAnsi="Times New Roman"/>
          <w:sz w:val="18"/>
          <w:szCs w:val="18"/>
          <w:color w:val="auto"/>
        </w:rPr>
      </w:pPr>
    </w:p>
    <w:p>
      <w:pPr>
        <w:ind w:left="540" w:right="160" w:hanging="532"/>
        <w:spacing w:after="0" w:line="254"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an Announcement Event, Merger Event or Tender Offer that is within Counterparty’s control, or (iii) an Event of Default in which Counterparty is the Defaulting Party or a Termination Event in which Counterparty is the sole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60" w:top="270" w:right="479" w:bottom="1440" w:gutter="0" w:footer="0" w:header="0"/>
        </w:sectPr>
      </w:pPr>
    </w:p>
    <w:bookmarkStart w:id="145" w:name="page146"/>
    <w:bookmarkEnd w:id="145"/>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and (b) Counterparty remakes the representation set forth in Section 8(f) of this Confirmation as of the date of such election, in which case the provisions of Section 12.7 or Section 12.9 of the Equity Definitions, or the provisions of Section 6(d)(ii) of the Agreement, as the case may be, shall apply.</w:t>
      </w:r>
    </w:p>
    <w:p>
      <w:pPr>
        <w:sectPr>
          <w:pgSz w:w="11900" w:h="16838" w:orient="portrait"/>
          <w:cols w:equalWidth="0" w:num="1">
            <w:col w:w="10020"/>
          </w:cols>
          <w:pgMar w:left="1420" w:top="270" w:right="45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Sections 6(d)(ii) and 6(e) of the Agreement, as applicable, in satisfaction of such Payment Obligation in the manner reasonably requested by Counterparty free of payment.</w:t>
      </w:r>
    </w:p>
    <w:p>
      <w:pPr>
        <w:spacing w:after="0" w:line="79" w:lineRule="exact"/>
        <w:rPr>
          <w:sz w:val="20"/>
          <w:szCs w:val="20"/>
          <w:color w:val="auto"/>
        </w:rPr>
      </w:pPr>
    </w:p>
    <w:p>
      <w:pPr>
        <w:sectPr>
          <w:pgSz w:w="11900" w:h="16838" w:orient="portrait"/>
          <w:cols w:equalWidth="0" w:num="2">
            <w:col w:w="3100" w:space="720"/>
            <w:col w:w="6200"/>
          </w:cols>
          <w:pgMar w:left="1420" w:top="27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 number of Share Termination Delivery Units, as calculated by the Calculation Agent, equal to the Payment Obligation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79" w:lineRule="exact"/>
        <w:rPr>
          <w:sz w:val="20"/>
          <w:szCs w:val="20"/>
          <w:color w:val="auto"/>
        </w:rPr>
      </w:pPr>
    </w:p>
    <w:p>
      <w:pPr>
        <w:sectPr>
          <w:pgSz w:w="11900" w:h="16838" w:orient="portrait"/>
          <w:cols w:equalWidth="0" w:num="2">
            <w:col w:w="3100" w:space="720"/>
            <w:col w:w="6200"/>
          </w:cols>
          <w:pgMar w:left="1420" w:top="27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81" w:lineRule="exact"/>
        <w:rPr>
          <w:sz w:val="20"/>
          <w:szCs w:val="20"/>
          <w:color w:val="auto"/>
        </w:rPr>
      </w:pPr>
    </w:p>
    <w:p>
      <w:pPr>
        <w:sectPr>
          <w:pgSz w:w="11900" w:h="16838" w:orient="portrait"/>
          <w:cols w:equalWidth="0" w:num="2">
            <w:col w:w="3100" w:space="720"/>
            <w:col w:w="6200"/>
          </w:cols>
          <w:pgMar w:left="1420" w:top="27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Unit Price the Calculation Agent may consider the purchase price paid in connection with the purchase of Share Termination Delivery Property that was purchased in connection with the delivery of the Share Termination Delivery Units.</w:t>
      </w:r>
    </w:p>
    <w:p>
      <w:pPr>
        <w:spacing w:after="0" w:line="84" w:lineRule="exact"/>
        <w:rPr>
          <w:sz w:val="20"/>
          <w:szCs w:val="20"/>
          <w:color w:val="auto"/>
        </w:rPr>
      </w:pPr>
    </w:p>
    <w:p>
      <w:pPr>
        <w:sectPr>
          <w:pgSz w:w="11900" w:h="16838" w:orient="portrait"/>
          <w:cols w:equalWidth="0" w:num="2">
            <w:col w:w="3100" w:space="720"/>
            <w:col w:w="6200"/>
          </w:cols>
          <w:pgMar w:left="1420" w:top="27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58" w:lineRule="exact"/>
        <w:rPr>
          <w:sz w:val="20"/>
          <w:szCs w:val="20"/>
          <w:color w:val="auto"/>
        </w:rPr>
      </w:pPr>
    </w:p>
    <w:p>
      <w:pPr>
        <w:sectPr>
          <w:pgSz w:w="11900" w:h="16838" w:orient="portrait"/>
          <w:cols w:equalWidth="0" w:num="2">
            <w:col w:w="3100" w:space="720"/>
            <w:col w:w="6200"/>
          </w:cols>
          <w:pgMar w:left="1420" w:top="270" w:right="459" w:bottom="1440" w:gutter="0" w:footer="0" w:header="0"/>
          <w:type w:val="continuous"/>
        </w:sectPr>
      </w:pPr>
    </w:p>
    <w:p>
      <w:pPr>
        <w:ind w:left="44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20"/>
          </w:cols>
          <w:pgMar w:left="1420" w:top="270" w:right="459" w:bottom="1440" w:gutter="0" w:footer="0" w:header="0"/>
          <w:type w:val="continuous"/>
        </w:sectPr>
      </w:pPr>
    </w:p>
    <w:bookmarkStart w:id="146" w:name="page147"/>
    <w:bookmarkEnd w:id="146"/>
    <w:p>
      <w:pPr>
        <w:ind w:left="58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of this Confirmation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-1263650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3660" w:space="720"/>
            <w:col w:w="6200"/>
          </w:cols>
          <w:pgMar w:left="860" w:top="378" w:right="459" w:bottom="1440" w:gutter="0" w:footer="0" w:header="0"/>
        </w:sectPr>
      </w:pPr>
    </w:p>
    <w:p>
      <w:pPr>
        <w:ind w:left="540" w:right="100" w:hanging="532"/>
        <w:spacing w:after="0" w:line="256" w:lineRule="auto"/>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8"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hereby agrees that if, in the good faith reasonable judgment of Dealer, based on the advice of counsel,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acquired and held by Dealer for the purpose of effecting a commercially reasonable hedge of its obligations pursuant to the Transaction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cannot be sold in the public market by Dealer without registration under the Securities Act (other than any such Hedge Shares that were, at the time of acquisition by Dealer, “restricted securities” (as defined in Rule 144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of substantially similar size and in a similar industry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and industry, in form and substance reasonably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of similar size), or (iii) purchase the Hedge Shares from Dealer at the then-current market price on such Exchange Business Days, and in the amounts and at such time(s), requested by Dealer.</w:t>
      </w:r>
    </w:p>
    <w:p>
      <w:pPr>
        <w:spacing w:after="0" w:line="100"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Dealer and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employees, representatives, or other agents may disclose to any and all persons, without limitation of any kind, the tax treatment and tax structure of the Transaction and all materials of any kind (including opinions or other tax analyses) that are provided to Counterparty and Dealer relating to such tax treatment and tax structure.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80"/>
          </w:cols>
          <w:pgMar w:left="860" w:top="378" w:right="459" w:bottom="1440" w:gutter="0" w:footer="0" w:header="0"/>
          <w:type w:val="continuous"/>
        </w:sectPr>
      </w:pPr>
    </w:p>
    <w:bookmarkStart w:id="147" w:name="page148"/>
    <w:bookmarkEnd w:id="147"/>
    <w:p>
      <w:pPr>
        <w:ind w:left="540" w:right="140" w:hanging="532"/>
        <w:spacing w:after="0" w:line="253"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other date of valuation, payment or delivery by Dealer, with respect to some or all of the Options hereunder, to the extent Dealer reasonably determines (and in the case of clause (ii) below, based on the advice of counsel), that such action is reasonably necessary or appropriate (i) to preserve Dealer’s commercially reasonable hedging or hedge unwind activity hereunder in light of existing liquidity conditions (but only if there is a decrease in liquidity relative to Dealer’s expectations on the Trade Date) or (ii) to enable Dealer to effect purchases of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(so long as such policies or procedures are consistently applied to transactions similar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97" w:lineRule="exact"/>
        <w:rPr>
          <w:rFonts w:ascii="Times New Roman" w:cs="Times New Roman" w:eastAsia="Times New Roman" w:hAnsi="Times New Roman"/>
          <w:sz w:val="18"/>
          <w:szCs w:val="18"/>
          <w:color w:val="auto"/>
        </w:rPr>
      </w:pPr>
    </w:p>
    <w:p>
      <w:pPr>
        <w:ind w:left="540" w:right="160" w:hanging="532"/>
        <w:spacing w:after="0" w:line="258"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common stockholders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88" w:lineRule="exact"/>
        <w:rPr>
          <w:rFonts w:ascii="Times New Roman" w:cs="Times New Roman" w:eastAsia="Times New Roman" w:hAnsi="Times New Roman"/>
          <w:sz w:val="18"/>
          <w:szCs w:val="18"/>
          <w:color w:val="auto"/>
        </w:rPr>
      </w:pPr>
    </w:p>
    <w:p>
      <w:pPr>
        <w:ind w:left="540" w:hanging="532"/>
        <w:spacing w:after="0" w:line="257"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132" w:lineRule="exact"/>
        <w:rPr>
          <w:rFonts w:ascii="Times New Roman" w:cs="Times New Roman" w:eastAsia="Times New Roman" w:hAnsi="Times New Roman"/>
          <w:sz w:val="18"/>
          <w:szCs w:val="18"/>
          <w:color w:val="auto"/>
        </w:rPr>
      </w:pPr>
    </w:p>
    <w:p>
      <w:pPr>
        <w:ind w:left="1000" w:right="100" w:hanging="439"/>
        <w:spacing w:after="0" w:line="258"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actually received by holders of Shares pursuant to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88" w:lineRule="exact"/>
        <w:rPr>
          <w:rFonts w:ascii="Times New Roman" w:cs="Times New Roman" w:eastAsia="Times New Roman" w:hAnsi="Times New Roman"/>
          <w:sz w:val="18"/>
          <w:szCs w:val="18"/>
          <w:color w:val="auto"/>
        </w:rPr>
      </w:pPr>
    </w:p>
    <w:p>
      <w:pPr>
        <w:ind w:left="1000" w:right="20" w:hanging="439"/>
        <w:spacing w:after="0" w:line="253"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any event at least one Exchange Business Day prior to the relevant Adjustment Notice Deadline) written notice of the section or sections of the Indenture pursuant to which any adjustment will be made to the Convertible Notes in connection with any Potential Adjustment Event (other than a Potential Adjustment Event in respect of the Dilution Adjustment Provisions set forth in Section 5.05(A)(ii)) or Merger Event and (B) promptly following any such adjustment (or any adjustment that would have required a notice under clause (A) above but for the parenthetical exception included therein), Counterparty shall give Dealer written notice of the details of such adjustment. The “</w:t>
      </w:r>
      <w:r>
        <w:rPr>
          <w:rFonts w:ascii="Times New Roman" w:cs="Times New Roman" w:eastAsia="Times New Roman" w:hAnsi="Times New Roman"/>
          <w:sz w:val="18"/>
          <w:szCs w:val="18"/>
          <w:b w:val="1"/>
          <w:bCs w:val="1"/>
          <w:color w:val="auto"/>
        </w:rPr>
        <w:t>Adjustment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means (i) for any Potential Adjustment Event in respect of the Dilution Adjustment Provision set forth in Section 5.05(A)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(iv) or Section 5.05(A)(i) of the Indenture, the relevant “Ex-Dividend Date” (as such term is defined in the Indenture) or “Effective Date” (as such term is defined in the Indenture), as the case may be, (ii) for any Potential Adjustment Event in respect of the Dilution Adjustment Provision set forth in Section 5.05(A)(iii)(1) of the Indenture, the first “Trading Day” (as such term is defined in the Indenture) of the period referred to in the definition of “SP” in such Section 5.05(A)(iii)(1) of the Indenture, (iii) for any Potential Adjustment Event in respect of the Dilution</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600"/>
          </w:cols>
          <w:pgMar w:left="860" w:top="268" w:right="439" w:bottom="1440" w:gutter="0" w:footer="0" w:header="0"/>
        </w:sectPr>
      </w:pPr>
    </w:p>
    <w:bookmarkStart w:id="148" w:name="page149"/>
    <w:bookmarkEnd w:id="148"/>
    <w:p>
      <w:pPr>
        <w:ind w:left="1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 Provision set forth in Section 5.05(A)(iii)(2) of the Indenture, the first “Trading Day” (as such term is defined in the Indenture) of the “Spin-Off Valuation Period” (as such term is defined in the Indenture), (iv) for any Potential Adjustment Event in respect of the Dilution Adjustment Provision set forth in Section 5.05(A)(v) of the Indenture, the first “Trading Day” (as such term is defined in the Indenture) of the “Tender/Exchange Offer Valuation Period” (as such term is defined in the Indenture), and (v) for any Merger Event, the effective date of such Merger Event (or, if earlier, the first day of any valuation or similar period in respect of such Merger Event).</w:t>
      </w:r>
    </w:p>
    <w:p>
      <w:pPr>
        <w:spacing w:after="0" w:line="91" w:lineRule="exact"/>
        <w:rPr>
          <w:sz w:val="20"/>
          <w:szCs w:val="20"/>
          <w:color w:val="auto"/>
        </w:rPr>
      </w:pPr>
    </w:p>
    <w:p>
      <w:pPr>
        <w:ind w:left="964" w:right="160" w:hanging="532"/>
        <w:spacing w:after="0" w:line="256" w:lineRule="auto"/>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88" w:lineRule="exact"/>
        <w:rPr>
          <w:rFonts w:ascii="Times New Roman" w:cs="Times New Roman" w:eastAsia="Times New Roman" w:hAnsi="Times New Roman"/>
          <w:sz w:val="18"/>
          <w:szCs w:val="18"/>
          <w:color w:val="auto"/>
        </w:rPr>
      </w:pPr>
    </w:p>
    <w:p>
      <w:pPr>
        <w:ind w:left="964" w:right="80" w:hanging="532"/>
        <w:spacing w:after="0" w:line="256" w:lineRule="auto"/>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w:t>
      </w:r>
    </w:p>
    <w:p>
      <w:pPr>
        <w:spacing w:after="0" w:line="1" w:lineRule="exact"/>
        <w:rPr>
          <w:rFonts w:ascii="Times New Roman" w:cs="Times New Roman" w:eastAsia="Times New Roman" w:hAnsi="Times New Roman"/>
          <w:sz w:val="18"/>
          <w:szCs w:val="18"/>
          <w:color w:val="auto"/>
        </w:rPr>
      </w:pPr>
    </w:p>
    <w:p>
      <w:pPr>
        <w:ind w:left="964"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Dealer shall make its own determination as to whether, when or in what manner any hedging or market activities in securities of the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92" w:lineRule="exact"/>
        <w:rPr>
          <w:rFonts w:ascii="Times New Roman" w:cs="Times New Roman" w:eastAsia="Times New Roman" w:hAnsi="Times New Roman"/>
          <w:sz w:val="18"/>
          <w:szCs w:val="18"/>
          <w:color w:val="auto"/>
        </w:rPr>
      </w:pPr>
    </w:p>
    <w:p>
      <w:pPr>
        <w:ind w:left="964" w:right="20" w:hanging="532"/>
        <w:spacing w:after="0" w:line="243" w:lineRule="auto"/>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[“Firm Securities”]</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[“Additional Securities”]</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 Agreement)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with the Initial Purchasers for any reason, or Counterparty fails to deliver to Dealer opinions of counsel as required pursuant to Section 9(a) of this Confirmation,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Early Unwind, Dealer shall return on the Early Unwind Date any Premium actually paid by Counterparty. Each of Dealer and Counterparty represents and acknowledges to the other that, subject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included in this Section 9(v), upon an Early Unwind, all obligations with respect to the Transaction shall be deemed fully and finally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8" w:lineRule="exact"/>
        <w:rPr>
          <w:sz w:val="20"/>
          <w:szCs w:val="20"/>
          <w:color w:val="auto"/>
        </w:rPr>
      </w:pPr>
    </w:p>
    <w:p>
      <w:pPr>
        <w:ind w:left="424" w:hanging="424"/>
        <w:spacing w:after="0"/>
        <w:tabs>
          <w:tab w:leader="none" w:pos="424" w:val="left"/>
        </w:tabs>
        <w:numPr>
          <w:ilvl w:val="0"/>
          <w:numId w:val="2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Base Call Option Confirmation.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149" w:name="page150"/>
    <w:bookmarkEnd w:id="149"/>
    <w:p>
      <w:pPr>
        <w:ind w:left="964" w:hanging="532"/>
        <w:spacing w:after="0"/>
        <w:tabs>
          <w:tab w:leader="none" w:pos="96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40" w:firstLine="7"/>
        <w:spacing w:after="0" w:line="255" w:lineRule="auto"/>
        <w:tabs>
          <w:tab w:leader="none" w:pos="119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provisions of the HIRE Act</w:t>
      </w:r>
      <w:r>
        <w:rPr>
          <w:rFonts w:ascii="Times New Roman" w:cs="Times New Roman" w:eastAsia="Times New Roman" w:hAnsi="Times New Roman"/>
          <w:sz w:val="18"/>
          <w:szCs w:val="18"/>
          <w:color w:val="auto"/>
        </w:rPr>
        <w:t>. The parties hereto agree that for the Transaction the terms “Tax” as used in Section 9(x) of this Confirmation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“Indemnifiable Tax” as defined in Section 14 of the Agreement shall not include any Tax imposed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and a Section 871(m) Tax are each a Tax the deduction or withholding of which is required by applicable law for the purposes of Section 2(d) of the Agreement.</w:t>
      </w:r>
    </w:p>
    <w:p>
      <w:pPr>
        <w:spacing w:after="0" w:line="76" w:lineRule="exact"/>
        <w:rPr>
          <w:rFonts w:ascii="Times New Roman" w:cs="Times New Roman" w:eastAsia="Times New Roman" w:hAnsi="Times New Roman"/>
          <w:sz w:val="18"/>
          <w:szCs w:val="18"/>
          <w:color w:val="auto"/>
        </w:rPr>
      </w:pPr>
    </w:p>
    <w:p>
      <w:pPr>
        <w:ind w:left="984" w:firstLine="7"/>
        <w:spacing w:after="0" w:line="238" w:lineRule="auto"/>
        <w:tabs>
          <w:tab w:leader="none" w:pos="124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Documentation</w:t>
      </w:r>
      <w:r>
        <w:rPr>
          <w:rFonts w:ascii="Times New Roman" w:cs="Times New Roman" w:eastAsia="Times New Roman" w:hAnsi="Times New Roman"/>
          <w:sz w:val="18"/>
          <w:szCs w:val="18"/>
          <w:color w:val="auto"/>
        </w:rPr>
        <w:t>. For purposes of Section 4(a)(i) and (ii) of the Agreement, (i) Counterparty agrees to deliver to Dealer one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completed United States Internal Revenue Service Form W-9 (or successor thereto), in each case, (A) on or before the date of execution of this Confirmation, (B) promptly upon reasonable demand by Dealer and (C) promptly upon learning that any such tax form previously provided by it has become expired, obsolete or incorrect and (ii) Dealer agrees to deliver to Counterparty one duly executed and completed United States Internal Revenue Service Form [__________]</w:t>
      </w:r>
      <w:r>
        <w:rPr>
          <w:rFonts w:ascii="Times New Roman" w:cs="Times New Roman" w:eastAsia="Times New Roman" w:hAnsi="Times New Roman"/>
          <w:sz w:val="26"/>
          <w:szCs w:val="26"/>
          <w:color w:val="auto"/>
          <w:vertAlign w:val="superscript"/>
        </w:rPr>
        <w:t>25</w:t>
      </w:r>
      <w:r>
        <w:rPr>
          <w:rFonts w:ascii="Times New Roman" w:cs="Times New Roman" w:eastAsia="Times New Roman" w:hAnsi="Times New Roman"/>
          <w:sz w:val="18"/>
          <w:szCs w:val="18"/>
          <w:color w:val="auto"/>
        </w:rPr>
        <w:t xml:space="preserve"> (or successor thereto), in each case, (A) on or before the date of execution of this Confirmation, (B) promptly upon reasonable demand by Counterparty and (C) promptly upon learning that any such tax form previously provided by it has become expired, obsolete or incorrect.</w:t>
      </w:r>
    </w:p>
    <w:p>
      <w:pPr>
        <w:spacing w:after="0" w:line="91" w:lineRule="exact"/>
        <w:rPr>
          <w:rFonts w:ascii="Times New Roman" w:cs="Times New Roman" w:eastAsia="Times New Roman" w:hAnsi="Times New Roman"/>
          <w:sz w:val="18"/>
          <w:szCs w:val="18"/>
          <w:color w:val="auto"/>
        </w:rPr>
      </w:pPr>
    </w:p>
    <w:p>
      <w:pPr>
        <w:ind w:left="984" w:right="120" w:firstLine="7"/>
        <w:spacing w:after="0" w:line="234" w:lineRule="auto"/>
        <w:tabs>
          <w:tab w:leader="none" w:pos="129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Payee Tax Representations</w:t>
      </w:r>
      <w:r>
        <w:rPr>
          <w:rFonts w:ascii="Times New Roman" w:cs="Times New Roman" w:eastAsia="Times New Roman" w:hAnsi="Times New Roman"/>
          <w:sz w:val="18"/>
          <w:szCs w:val="18"/>
          <w:color w:val="auto"/>
        </w:rPr>
        <w:t>. Counterparty is a corporation for U.S. federal income tax purposes and is organized under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Washington. Counterparty is a “U.S. person” (as that term is used in Treasury Regulation Section 1.1441-4(a)(3)(ii)) for U.S. federal income tax purposes and an exempt recipient under Treasury Regulation Sections 1.6041-3(p) and 1.6049-4(c)(1)(ii) from information reporting on Form 1099 and backup withholding. [_________]</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8"/>
          <w:szCs w:val="18"/>
          <w:color w:val="auto"/>
        </w:rPr>
        <w:t>. Each party agrees to give notice of any failure of a representation made by it under this Section 9(w)(iii) to be accurate and true promptly upon learning of such failure.</w:t>
      </w:r>
    </w:p>
    <w:p>
      <w:pPr>
        <w:spacing w:after="0" w:line="89" w:lineRule="exact"/>
        <w:rPr>
          <w:rFonts w:ascii="Times New Roman" w:cs="Times New Roman" w:eastAsia="Times New Roman" w:hAnsi="Times New Roman"/>
          <w:sz w:val="18"/>
          <w:szCs w:val="18"/>
          <w:color w:val="auto"/>
        </w:rPr>
      </w:pPr>
    </w:p>
    <w:p>
      <w:pPr>
        <w:ind w:left="984" w:right="20" w:firstLine="7"/>
        <w:spacing w:after="0" w:line="254" w:lineRule="auto"/>
        <w:tabs>
          <w:tab w:leader="none" w:pos="128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Incorporation of ISDA 2015 Section 871(m) Protocol Provisions</w:t>
      </w:r>
      <w:r>
        <w:rPr>
          <w:rFonts w:ascii="Times New Roman" w:cs="Times New Roman" w:eastAsia="Times New Roman" w:hAnsi="Times New Roman"/>
          <w:sz w:val="18"/>
          <w:szCs w:val="18"/>
          <w:color w:val="auto"/>
        </w:rPr>
        <w:t>. To the extent that either party to the Agreement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the parties agree that the provisions and amendments contained in the Attachment to the 871(m) Protocol are incorporated into and apply to the Agreement with respect to the Transaction as if set forth in full herein. The parties further agree that, solely for purposes of applying such provisions and amendments to the Agreement with respect to the Transaction, references to “each Covered Master Agreement” in the 871(m) Protocol will be deemed to be references to the Agreement with respect to the Transaction, and references to the “Implementation Date” in the 871(m) Protocol will be deemed to be references to the Trade Date of the Transaction. Notwithstanding anything to the contrary in this Section 9(w), the last sentence of Section 2(d)(iii) as proposed to be added by the 871(m) Protocol is not incorporated by reference herein.</w:t>
      </w:r>
    </w:p>
    <w:p>
      <w:pPr>
        <w:spacing w:after="0" w:line="90" w:lineRule="exact"/>
        <w:rPr>
          <w:rFonts w:ascii="Times New Roman" w:cs="Times New Roman" w:eastAsia="Times New Roman" w:hAnsi="Times New Roman"/>
          <w:sz w:val="18"/>
          <w:szCs w:val="18"/>
          <w:color w:val="auto"/>
        </w:rPr>
      </w:pPr>
    </w:p>
    <w:p>
      <w:pPr>
        <w:ind w:left="964" w:right="60" w:hanging="532"/>
        <w:spacing w:after="0" w:line="253" w:lineRule="auto"/>
        <w:tabs>
          <w:tab w:leader="none" w:pos="96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Payor Tax Representations</w:t>
      </w:r>
      <w:r>
        <w:rPr>
          <w:rFonts w:ascii="Times New Roman" w:cs="Times New Roman" w:eastAsia="Times New Roman" w:hAnsi="Times New Roman"/>
          <w:sz w:val="18"/>
          <w:szCs w:val="18"/>
          <w:color w:val="auto"/>
        </w:rPr>
        <w:t>. For the purpose of Section 3(e) of the Agreement, each party makes the following representation: It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any applicable law, as modified by the practice of any relevant governmental revenue authority, of any Relevant Jurisdiction to make any deduction or withholding for or on account of any Tax from any payment (other than interest under Section 9(h) of the Agreement or amounts payable hereunder that are considered to be interest for U.S. federal income tax purposes) to be made by it to the other party under the Agreement. In making this representation, it may rely on (i) the accuracy of any representations made by the other party pursuant to Section 9(w)(iii) of this Confirmation, (ii) the satisfaction of the agreement contained in Section 4(a)(i) or 4(a)(iii) of the Agreement and the accuracy and effectiveness of any document provided by the other party pursuant to Section 4(a)(i) or 4(a)(iii) of the Agreement, (iii) the satisfaction of the agreement of the other party contained in the last sentence of Section 9(w)(iii) of this Confirmation and (iv) the documentation provided by the other party pursuant to Section 9(w)(ii) of this Confirmation,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1" w:lineRule="exact"/>
        <w:rPr>
          <w:sz w:val="20"/>
          <w:szCs w:val="20"/>
          <w:color w:val="auto"/>
        </w:rPr>
      </w:pPr>
    </w:p>
    <w:p>
      <w:pPr>
        <w:ind w:left="424" w:hanging="424"/>
        <w:spacing w:after="0"/>
        <w:tabs>
          <w:tab w:leader="none" w:pos="424" w:val="left"/>
        </w:tabs>
        <w:numPr>
          <w:ilvl w:val="0"/>
          <w:numId w:val="2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modified for Dealers as appropriate.</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updated to reflect Dealer-specific tax boilerplate language.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68" w:right="439" w:bottom="1440" w:gutter="0" w:footer="0" w:header="0"/>
        </w:sectPr>
      </w:pPr>
    </w:p>
    <w:bookmarkStart w:id="150" w:name="page151"/>
    <w:bookmarkEnd w:id="150"/>
    <w:p>
      <w:pPr>
        <w:ind w:left="540" w:right="40" w:hanging="532"/>
        <w:spacing w:after="0" w:line="255" w:lineRule="auto"/>
        <w:tabs>
          <w:tab w:leader="none" w:pos="5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ind w:left="540" w:right="140" w:hanging="532"/>
        <w:spacing w:after="0" w:line="265" w:lineRule="auto"/>
        <w:tabs>
          <w:tab w:leader="none" w:pos="54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Other Adjustments Pursuant to the Equity Definitions</w:t>
      </w:r>
      <w:r>
        <w:rPr>
          <w:rFonts w:ascii="Times New Roman" w:cs="Times New Roman" w:eastAsia="Times New Roman" w:hAnsi="Times New Roman"/>
          <w:sz w:val="17"/>
          <w:szCs w:val="17"/>
          <w:color w:val="auto"/>
        </w:rPr>
        <w:t>. Notwithstanding anything to the contrary in the Agreement, the Equity Definitions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this Confirmation, upon the occurrence of a Merger Date, the occurrence of a Tender Offer Date, or declaration by Counterparty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account for the economic effect on the Transaction of such occurrence or declaration;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Cap Price be less than the Strike Price;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 any adjustment to the Cap Price made pursuant to this section shall be made without duplication of any other adjustment hereunder and</w:t>
      </w:r>
    </w:p>
    <w:p>
      <w:pPr>
        <w:spacing w:after="0" w:line="1" w:lineRule="exact"/>
        <w:rPr>
          <w:rFonts w:ascii="Times New Roman" w:cs="Times New Roman" w:eastAsia="Times New Roman" w:hAnsi="Times New Roman"/>
          <w:sz w:val="17"/>
          <w:szCs w:val="17"/>
          <w:color w:val="auto"/>
        </w:rPr>
      </w:pPr>
    </w:p>
    <w:p>
      <w:pPr>
        <w:ind w:left="5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 with respect to any Potential Adjustment Event set forth in Sections 11.2(e)(i), (ii)(A) and (iv) of the Equity Definitions, no adjustments will be made to account solely for changes in volatility, expected dividends, stock loan rate or liquidity relative to the relevant Shares. Solely for purposes of this Section 9(z): (x) the terms “Potential Adjustment Event,” “Merger Event” and “Tender Offer” shall each have the meanings assigned to each such term in the Equity Definitions (in the case of the definition of “Potential Adjustment Event”, as amended by Section 9(j) of this Confirmation, and in the case of the definition of “Tender Offer”, as amended by the provisions opposite the caption “Announcement Event” in Section 3 of this Confirmation) and (y) “Extraordinary Dividend” means any cash dividend on the Shares.</w:t>
      </w:r>
    </w:p>
    <w:p>
      <w:pPr>
        <w:spacing w:after="0" w:line="92" w:lineRule="exact"/>
        <w:rPr>
          <w:sz w:val="20"/>
          <w:szCs w:val="20"/>
          <w:color w:val="auto"/>
        </w:rPr>
      </w:pPr>
    </w:p>
    <w:p>
      <w:pPr>
        <w:ind w:left="540" w:hanging="532"/>
        <w:spacing w:after="0"/>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Dealer boilerplate, if applicable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0" w:right="100" w:hanging="532"/>
        <w:spacing w:after="0" w:line="261" w:lineRule="auto"/>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to Effectiveness</w:t>
      </w:r>
      <w:r>
        <w:rPr>
          <w:rFonts w:ascii="Times New Roman" w:cs="Times New Roman" w:eastAsia="Times New Roman" w:hAnsi="Times New Roman"/>
          <w:sz w:val="18"/>
          <w:szCs w:val="18"/>
          <w:color w:val="auto"/>
        </w:rPr>
        <w:t>. Notwithstanding anything to the contrary in the Agreement or the Equity Definitions, it shall be a condition to effectiveness of (x) the Transaction and this Confirmation (other than, in each case, Section 9(i)(v) of this Confirmation) on the Premium Payment Date and (y) Counterparty’s obligation to pay Dealer the Premium, that the Conditions Subsequent have all been satisfied on or prior to the Premium Payment Date.</w:t>
      </w:r>
    </w:p>
    <w:p>
      <w:pPr>
        <w:spacing w:after="0" w:line="1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80"/>
          </w:cols>
          <w:pgMar w:left="860" w:top="268" w:right="459" w:bottom="1440" w:gutter="0" w:footer="0" w:header="0"/>
        </w:sectPr>
      </w:pPr>
    </w:p>
    <w:bookmarkStart w:id="151" w:name="page152"/>
    <w:bookmarkEnd w:id="151"/>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6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     [DEALER]</w:t>
      </w:r>
      <w:r>
        <w:rPr>
          <w:rFonts w:ascii="Times New Roman" w:cs="Times New Roman" w:eastAsia="Times New Roman" w:hAnsi="Times New Roman"/>
          <w:sz w:val="26"/>
          <w:szCs w:val="26"/>
          <w:b w:val="1"/>
          <w:bCs w:val="1"/>
          <w:color w:val="auto"/>
          <w:vertAlign w:val="superscript"/>
        </w:rPr>
        <w:t>27</w:t>
      </w:r>
    </w:p>
    <w:p>
      <w:pPr>
        <w:spacing w:after="0" w:line="178"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17145</wp:posOffset>
            </wp:positionV>
            <wp:extent cx="24003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724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 w:lineRule="exact"/>
        <w:rPr>
          <w:sz w:val="20"/>
          <w:szCs w:val="20"/>
          <w:color w:val="auto"/>
        </w:rPr>
      </w:pPr>
    </w:p>
    <w:p>
      <w:pPr>
        <w:ind w:left="6624"/>
        <w:spacing w:after="0"/>
        <w:tabs>
          <w:tab w:leader="none" w:pos="7224"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2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Dealer preferred signature page information, as applicable.</w:t>
      </w:r>
    </w:p>
    <w:p>
      <w:pPr>
        <w:spacing w:after="0" w:line="12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ectPr>
          <w:pgSz w:w="11900" w:h="16838" w:orient="portrait"/>
          <w:cols w:equalWidth="0" w:num="1">
            <w:col w:w="10964"/>
          </w:cols>
          <w:pgMar w:left="436" w:top="270"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137"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AGREEMENT</w:t>
      </w:r>
    </w:p>
    <w:p>
      <w:pPr>
        <w:spacing w:after="0" w:line="225"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WAIVER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is entered into as of June 15, 2026, by and among</w:t>
      </w:r>
      <w:r>
        <w:rPr>
          <w:rFonts w:ascii="Times New Roman" w:cs="Times New Roman" w:eastAsia="Times New Roman" w:hAnsi="Times New Roman"/>
          <w:sz w:val="18"/>
          <w:szCs w:val="18"/>
          <w:b w:val="1"/>
          <w:bCs w:val="1"/>
          <w:color w:val="auto"/>
        </w:rPr>
        <w:t xml:space="preserve"> Adaptive Biotechnologies Corporation</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Washington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OrbiMed Royalty &amp; Credit Opportunities IV, LP</w:t>
      </w:r>
      <w:r>
        <w:rPr>
          <w:rFonts w:ascii="Times New Roman" w:cs="Times New Roman" w:eastAsia="Times New Roman" w:hAnsi="Times New Roman"/>
          <w:sz w:val="18"/>
          <w:szCs w:val="18"/>
          <w:color w:val="auto"/>
        </w:rPr>
        <w:t>, a Delaware limited partnership, in its capacity as Purchaser Agent and as a Purchaser (in such capacities, “</w:t>
      </w:r>
      <w:r>
        <w:rPr>
          <w:rFonts w:ascii="Times New Roman" w:cs="Times New Roman" w:eastAsia="Times New Roman" w:hAnsi="Times New Roman"/>
          <w:sz w:val="18"/>
          <w:szCs w:val="18"/>
          <w:b w:val="1"/>
          <w:bCs w:val="1"/>
          <w:color w:val="auto"/>
        </w:rPr>
        <w:t>OrbiMed</w:t>
      </w:r>
      <w:r>
        <w:rPr>
          <w:rFonts w:ascii="Times New Roman" w:cs="Times New Roman" w:eastAsia="Times New Roman" w:hAnsi="Times New Roman"/>
          <w:sz w:val="18"/>
          <w:szCs w:val="18"/>
          <w:color w:val="auto"/>
        </w:rPr>
        <w:t>”), and each other Purchaser party hereto (OrbiMed, together with such other Purchasers, the “</w:t>
      </w:r>
      <w:r>
        <w:rPr>
          <w:rFonts w:ascii="Times New Roman" w:cs="Times New Roman" w:eastAsia="Times New Roman" w:hAnsi="Times New Roman"/>
          <w:sz w:val="18"/>
          <w:szCs w:val="18"/>
          <w:b w:val="1"/>
          <w:bCs w:val="1"/>
          <w:color w:val="auto"/>
        </w:rPr>
        <w:t>Waiving 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OrbiMed (as Purchaser Agent) and the Purchasers are parties to that certain Revenue Interest Purchase Agreement,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12, 2022 (as amended,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Capitalized terms used but not defined herein shall have the meanings ascribed to them in the Purchase Agreement.</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Company proposes to issue and sell up to $350,000,000 aggregate principal amount of its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offering pursuant to Rule 144A under the Securities Act of 1933, as amended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color w:val="auto"/>
        </w:rPr>
        <w:t>In connection with the Notes Offering, the Company intends to (i) enter into one or more privately negotiated capped call transactions with one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more financial institutions (the “</w:t>
      </w:r>
      <w:r>
        <w:rPr>
          <w:rFonts w:ascii="Times New Roman" w:cs="Times New Roman" w:eastAsia="Times New Roman" w:hAnsi="Times New Roman"/>
          <w:sz w:val="17"/>
          <w:szCs w:val="17"/>
          <w:b w:val="1"/>
          <w:bCs w:val="1"/>
          <w:color w:val="auto"/>
        </w:rPr>
        <w:t>Capped Call Transactions</w:t>
      </w:r>
      <w:r>
        <w:rPr>
          <w:rFonts w:ascii="Times New Roman" w:cs="Times New Roman" w:eastAsia="Times New Roman" w:hAnsi="Times New Roman"/>
          <w:sz w:val="17"/>
          <w:szCs w:val="17"/>
          <w:color w:val="auto"/>
        </w:rPr>
        <w:t>”), (ii) use a portion of the net proceeds of the Notes Offering to repurchase shares of the Company’s common stock (the “</w:t>
      </w:r>
      <w:r>
        <w:rPr>
          <w:rFonts w:ascii="Times New Roman" w:cs="Times New Roman" w:eastAsia="Times New Roman" w:hAnsi="Times New Roman"/>
          <w:sz w:val="17"/>
          <w:szCs w:val="17"/>
          <w:b w:val="1"/>
          <w:bCs w:val="1"/>
          <w:color w:val="auto"/>
        </w:rPr>
        <w:t>Share Repurchase</w:t>
      </w:r>
      <w:r>
        <w:rPr>
          <w:rFonts w:ascii="Times New Roman" w:cs="Times New Roman" w:eastAsia="Times New Roman" w:hAnsi="Times New Roman"/>
          <w:sz w:val="17"/>
          <w:szCs w:val="17"/>
          <w:color w:val="auto"/>
        </w:rPr>
        <w:t>”), and (iii) use a portion of the net proceeds to repurchase the outstanding Revenue Interests and satisfy all other Obligations under the Purchase Agreement (all such transactions, including the Notes Offering, collectively,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Certain provisions of the Purchase Agreement may restrict or prohibit the Company from consummating the Transactions, and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that the Waiving Parties waive such provisions solely to the extent necessary to permit the Transactions.</w:t>
      </w:r>
    </w:p>
    <w:p>
      <w:pPr>
        <w:spacing w:after="0" w:line="15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herein and other good and valuable consideration,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the parties agree as follows:</w:t>
      </w:r>
    </w:p>
    <w:p>
      <w:pPr>
        <w:spacing w:after="0" w:line="15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Waiver. </w:t>
      </w:r>
      <w:r>
        <w:rPr>
          <w:rFonts w:ascii="Times New Roman" w:cs="Times New Roman" w:eastAsia="Times New Roman" w:hAnsi="Times New Roman"/>
          <w:sz w:val="18"/>
          <w:szCs w:val="18"/>
          <w:color w:val="auto"/>
        </w:rPr>
        <w:t>Subject to Sections 2 and 3, the Waiving Parties hereby waive, solely to the extent necessary to permit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 the Transactions, any restriction, prohibition or default (or any event that with notice or lapse of time would constitute a default) arising under the Purchase Agreement or any other Transaction Document as a result of or in connection with:</w:t>
      </w:r>
    </w:p>
    <w:p>
      <w:pPr>
        <w:spacing w:after="0" w:line="67" w:lineRule="exact"/>
        <w:rPr>
          <w:sz w:val="20"/>
          <w:szCs w:val="20"/>
          <w:color w:val="auto"/>
        </w:rPr>
      </w:pPr>
    </w:p>
    <w:p>
      <w:pPr>
        <w:ind w:left="440" w:right="420" w:hanging="4"/>
        <w:spacing w:after="0" w:line="282" w:lineRule="auto"/>
        <w:tabs>
          <w:tab w:leader="none" w:pos="68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Notes and the execution and delivery of the indenture, purchase agreement and other documents related to the Notes Offering;</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performance of and payment of premiums in respect of the Capped Call Transactions;</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Share Repurchase;</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all outstanding Revenue Interests and repayment of the Obligations under the Purchase Agreement; and</w:t>
      </w:r>
    </w:p>
    <w:p>
      <w:pPr>
        <w:sectPr>
          <w:pgSz w:w="11900" w:h="16838" w:orient="portrait"/>
          <w:cols w:equalWidth="0" w:num="1">
            <w:col w:w="11020"/>
          </w:cols>
          <w:pgMar w:left="440" w:top="117" w:right="439" w:bottom="1440" w:gutter="0" w:footer="0" w:header="0"/>
        </w:sectPr>
      </w:pPr>
    </w:p>
    <w:bookmarkStart w:id="154" w:name="page155"/>
    <w:bookmarkEnd w:id="154"/>
    <w:p>
      <w:pPr>
        <w:ind w:left="440" w:right="60" w:hanging="4"/>
        <w:spacing w:after="0" w:line="282" w:lineRule="auto"/>
        <w:tabs>
          <w:tab w:leader="none" w:pos="6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taking of any other action reasonably necessary or advisable to consummate the Transactions, including without limitation the filing of any current reports or other documents with the Securities and Exchange Commission.</w:t>
      </w:r>
    </w:p>
    <w:p>
      <w:pPr>
        <w:spacing w:after="0" w:line="158"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Condition Precedent to Effectiveness of Waiver. </w:t>
      </w:r>
      <w:r>
        <w:rPr>
          <w:rFonts w:ascii="Times New Roman" w:cs="Times New Roman" w:eastAsia="Times New Roman" w:hAnsi="Times New Roman"/>
          <w:sz w:val="18"/>
          <w:szCs w:val="18"/>
          <w:color w:val="auto"/>
        </w:rPr>
        <w:t>This Waiver shall become effective on the date on which the Purchaser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receives counterpart signatures to this Waiver duly executed and delivered by the Company, each Purchaser and the Purchaser Agent.</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 Condition Subsequent to Effectiveness of Waiver. </w:t>
      </w:r>
      <w:r>
        <w:rPr>
          <w:rFonts w:ascii="Times New Roman" w:cs="Times New Roman" w:eastAsia="Times New Roman" w:hAnsi="Times New Roman"/>
          <w:sz w:val="18"/>
          <w:szCs w:val="18"/>
          <w:color w:val="auto"/>
        </w:rPr>
        <w:t>Notwithstanding anything to the contrary herein, the waiver set forth in 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automatically be void ab initio and of no force or effect if either of the following has not occurred upon the earlier of (x) promptly following the closing of the Notes Offering and (y) the close of business on June 23, 2026: (a) each Purchaser has received payment in full, in immediately available funds, of its pro rata portion of the repurchase amount calculated at an agreed repurchase amount of $156,892,013.94; and (b) payment of all expenses of the Purchaser Agent and the Purchasers (including, without limitation, the fees and out-of-pocket expenses of Covington &amp; Burling LLP, counsel to the Purchaser Agent and the Purchasers) incurred in connection with the negotiation, preparation, execution and delivery of the Purchase Agreement, this Waiver, any payoff letter and other lien release documentation and the Transactions and invoiced prior to June 22, 2026. If the waiver set forth in Section 1 becomes void pursuant to the immediately preceding sentence, then (i) the Waiving Parties shall retain all rights and remedies with respect to any restriction, prohibition, default, Put Option Event, Catch Up Payment Event, Material Breach or other breach arising under the Purchase Agreement or any other Transaction Document as if this Waiver had never been entered into, (ii) this Waiver shall have no further force and effect, (iii) any offers or proposals relating to the repurchase of the Revenue Interests, whether verbal or written, shall be deemed to be null and void and of no further force and effect, and (iv) the full amount of the Obligations, including with respect to the Revenue Interests, shall remain outstanding and no liens or security interests securing the Obligations shall be considered released.</w:t>
      </w:r>
    </w:p>
    <w:p>
      <w:pPr>
        <w:spacing w:after="0" w:line="18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 Limitations. </w:t>
      </w:r>
      <w:r>
        <w:rPr>
          <w:rFonts w:ascii="Times New Roman" w:cs="Times New Roman" w:eastAsia="Times New Roman" w:hAnsi="Times New Roman"/>
          <w:sz w:val="18"/>
          <w:szCs w:val="18"/>
          <w:color w:val="auto"/>
        </w:rPr>
        <w:t>The waiver set forth in Section 1 is a one-time waiver and is limited solely to the specific transactions comprising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This Waiver does not constitute (a) a consent to any future transaction or action not described herein, or (b) a waiver of any rights or remedies of the Waiving Parties with respect to any other existing or future breach of, or default under, the Purchase Agreement or any other Transaction Document. Nothing in this Waiver shall be construed as establishing a course of dealing or custom, or as modifying, amending or supplementing the terms of the Purchase Agreement or any other Transaction Document, except as expressly set forth herein.</w:t>
      </w:r>
    </w:p>
    <w:p>
      <w:pPr>
        <w:spacing w:after="0" w:line="179"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Purchase Agreement in Full Force and Effect. </w:t>
      </w:r>
      <w:r>
        <w:rPr>
          <w:rFonts w:ascii="Times New Roman" w:cs="Times New Roman" w:eastAsia="Times New Roman" w:hAnsi="Times New Roman"/>
          <w:sz w:val="18"/>
          <w:szCs w:val="18"/>
          <w:color w:val="auto"/>
        </w:rPr>
        <w:t>Except as expressly modified by this Waiver, the Purchase Agreement and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 shall remain in full force and effect and is hereby ratified and confirmed in all respects. This Waiver shall constitute a Transaction Document for all purposes of the Purchase Agreement and the other Transaction Documents.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 Governing Law</w:t>
      </w:r>
      <w:r>
        <w:rPr>
          <w:rFonts w:ascii="Times New Roman" w:cs="Times New Roman" w:eastAsia="Times New Roman" w:hAnsi="Times New Roman"/>
          <w:sz w:val="18"/>
          <w:szCs w:val="18"/>
          <w:color w:val="auto"/>
        </w:rPr>
        <w:t>. This Waiver shall be governed by, and construed, interpreted and enforced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New York, without giving effect to the principles of conflicts of law thereof.</w:t>
      </w:r>
    </w:p>
    <w:p>
      <w:pPr>
        <w:sectPr>
          <w:pgSz w:w="11900" w:h="16838" w:orient="portrait"/>
          <w:cols w:equalWidth="0" w:num="1">
            <w:col w:w="11000"/>
          </w:cols>
          <w:pgMar w:left="440" w:top="270" w:right="459" w:bottom="1440" w:gutter="0" w:footer="0" w:header="0"/>
        </w:sectPr>
      </w:pPr>
    </w:p>
    <w:bookmarkStart w:id="155" w:name="page156"/>
    <w:bookmarkEnd w:id="155"/>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Waiver and Release. </w:t>
      </w:r>
      <w:r>
        <w:rPr>
          <w:rFonts w:ascii="Times New Roman" w:cs="Times New Roman" w:eastAsia="Times New Roman" w:hAnsi="Times New Roman"/>
          <w:sz w:val="18"/>
          <w:szCs w:val="18"/>
          <w:color w:val="auto"/>
        </w:rPr>
        <w:t>TO INDUCE PURCHASER AGENT AND THE PURCHASERS TO AGREE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THE COMPANY, THE SUBSIDIARY GUARANTORS AND THEIR RESPECTIVE AFFILIATES (COLLECTIVELY, THE “</w:t>
      </w:r>
      <w:r>
        <w:rPr>
          <w:rFonts w:ascii="Times New Roman" w:cs="Times New Roman" w:eastAsia="Times New Roman" w:hAnsi="Times New Roman"/>
          <w:sz w:val="18"/>
          <w:szCs w:val="18"/>
          <w:u w:val="single" w:color="auto"/>
          <w:color w:val="auto"/>
        </w:rPr>
        <w:t>RELEASING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REPRESENT AND WARRANT THAT AS OF THE DATE HEREOF THERE ARE NO CLAIMS OR OFFSETS AGAINST OR RIGHTS OF RECOUPMENT WITH RESPECT TO, OR DISPUTES OF, OR DEFENSES OR COUNTERCLAIMS TO THEIR OBLIGATIONS UNDER THE TRANSACTION DOCUMENTS AND IN ACCORDANCE THEREWITH THE RELEASING PARTIES HEREBY:</w:t>
      </w:r>
    </w:p>
    <w:p>
      <w:pPr>
        <w:spacing w:after="0" w:line="75" w:lineRule="exact"/>
        <w:rPr>
          <w:sz w:val="20"/>
          <w:szCs w:val="20"/>
          <w:color w:val="auto"/>
        </w:rPr>
      </w:pPr>
    </w:p>
    <w:p>
      <w:pPr>
        <w:ind w:left="440" w:right="1380" w:firstLine="423"/>
        <w:spacing w:after="0" w:line="282" w:lineRule="auto"/>
        <w:rPr>
          <w:sz w:val="20"/>
          <w:szCs w:val="20"/>
          <w:color w:val="auto"/>
        </w:rPr>
      </w:pPr>
      <w:r>
        <w:rPr>
          <w:rFonts w:ascii="Times New Roman" w:cs="Times New Roman" w:eastAsia="Times New Roman" w:hAnsi="Times New Roman"/>
          <w:sz w:val="18"/>
          <w:szCs w:val="18"/>
          <w:color w:val="auto"/>
        </w:rPr>
        <w:t>A. WAIVE ANY AND ALL SUCH CLAIMS, OFFSETS, RIGHTS OF RECOUPMENT, DISPUTES, DEFENSES AND COUNTERCLAIMS, WHETHER KNOWN OR UNKNOWN, ARISING PRIOR TO THE DATE HEREOF.</w:t>
      </w:r>
    </w:p>
    <w:p>
      <w:pPr>
        <w:spacing w:after="0" w:line="54"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B. FOREVER RELEASE, RELIEVE, AND DISCHARGE PURCHASER AGENT, THE PURCHASERS, THEIR AFFILIATES AND ITS AND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TRANSACTION DOCUMENTS OR ANY OF THE TRANSACTIONS CONTEMPLATED THEREBY.</w:t>
      </w:r>
    </w:p>
    <w:p>
      <w:pPr>
        <w:spacing w:after="0" w:line="82" w:lineRule="exact"/>
        <w:rPr>
          <w:sz w:val="20"/>
          <w:szCs w:val="20"/>
          <w:color w:val="auto"/>
        </w:rPr>
      </w:pPr>
    </w:p>
    <w:p>
      <w:pPr>
        <w:ind w:left="440" w:right="60" w:firstLine="423"/>
        <w:spacing w:after="0" w:line="254" w:lineRule="auto"/>
        <w:rPr>
          <w:sz w:val="20"/>
          <w:szCs w:val="20"/>
          <w:color w:val="auto"/>
        </w:rPr>
      </w:pPr>
      <w:r>
        <w:rPr>
          <w:rFonts w:ascii="Times New Roman" w:cs="Times New Roman" w:eastAsia="Times New Roman" w:hAnsi="Times New Roman"/>
          <w:sz w:val="18"/>
          <w:szCs w:val="18"/>
          <w:color w:val="auto"/>
        </w:rPr>
        <w:t>C. 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WAIVER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spacing w:after="0" w:line="80" w:lineRule="exact"/>
        <w:rPr>
          <w:sz w:val="20"/>
          <w:szCs w:val="20"/>
          <w:color w:val="auto"/>
        </w:rPr>
      </w:pPr>
    </w:p>
    <w:p>
      <w:pPr>
        <w:ind w:left="440" w:right="20" w:firstLine="423"/>
        <w:spacing w:after="0" w:line="289" w:lineRule="auto"/>
        <w:rPr>
          <w:sz w:val="20"/>
          <w:szCs w:val="20"/>
          <w:color w:val="auto"/>
        </w:rPr>
      </w:pPr>
      <w:r>
        <w:rPr>
          <w:rFonts w:ascii="Times New Roman" w:cs="Times New Roman" w:eastAsia="Times New Roman" w:hAnsi="Times New Roman"/>
          <w:sz w:val="17"/>
          <w:szCs w:val="17"/>
          <w:color w:val="auto"/>
        </w:rPr>
        <w:t>D. COVENANT AND AGREE NOT TO BRING ANY CLAIM, ACTION, SUIT OR PROCEEDING AGAINST THE RELEASED PARTIES, DIRECTLY OR INDIRECTLY, REGARDING OR RELATED IN ANY MANNER TO THE MATTERS RELEASED HEREBY, AND FURTHER COVENANT AND AGREE THAT THIS WAIVER IS A BAR TO ANY SUCH CLAIM, ACTION, SUIT, OR PROCEEDING.</w:t>
      </w:r>
    </w:p>
    <w:p>
      <w:pPr>
        <w:sectPr>
          <w:pgSz w:w="11900" w:h="16838" w:orient="portrait"/>
          <w:cols w:equalWidth="0" w:num="1">
            <w:col w:w="11000"/>
          </w:cols>
          <w:pgMar w:left="440" w:top="266" w:right="459" w:bottom="1440" w:gutter="0" w:footer="0" w:header="0"/>
        </w:sectPr>
      </w:pPr>
    </w:p>
    <w:bookmarkStart w:id="156" w:name="page157"/>
    <w:bookmarkEnd w:id="156"/>
    <w:p>
      <w:pPr>
        <w:ind w:left="440" w:right="18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REPRESENT AND WARRANT TO THE RELEASED PARTIES THAT THEY HAVE NOT HERETOFORE ASSIGNED OR TRANSFERRED, OR PURPORTED TO ASSIGN OR TRANSFER, TO ANY PERSON OR ENTITY ANY CLAIMS OR OTHER MATTERS HEREIN RELEASED.</w:t>
      </w:r>
    </w:p>
    <w:p>
      <w:pPr>
        <w:spacing w:after="0" w:line="68" w:lineRule="exact"/>
        <w:rPr>
          <w:sz w:val="20"/>
          <w:szCs w:val="20"/>
          <w:color w:val="auto"/>
        </w:rPr>
      </w:pPr>
    </w:p>
    <w:p>
      <w:pPr>
        <w:ind w:left="440" w:right="80" w:firstLine="423"/>
        <w:spacing w:after="0" w:line="258" w:lineRule="auto"/>
        <w:rPr>
          <w:sz w:val="20"/>
          <w:szCs w:val="20"/>
          <w:color w:val="auto"/>
        </w:rPr>
      </w:pPr>
      <w:r>
        <w:rPr>
          <w:rFonts w:ascii="Times New Roman" w:cs="Times New Roman" w:eastAsia="Times New Roman" w:hAnsi="Times New Roman"/>
          <w:sz w:val="18"/>
          <w:szCs w:val="18"/>
          <w:color w:val="auto"/>
        </w:rPr>
        <w:t>F. 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pacing w:after="0" w:line="289" w:lineRule="exact"/>
        <w:rPr>
          <w:sz w:val="20"/>
          <w:szCs w:val="20"/>
          <w:color w:val="auto"/>
        </w:rPr>
      </w:pPr>
    </w:p>
    <w:p>
      <w:pPr>
        <w:ind w:left="980" w:right="1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Counterparts. </w:t>
      </w:r>
      <w:r>
        <w:rPr>
          <w:rFonts w:ascii="Times New Roman" w:cs="Times New Roman" w:eastAsia="Times New Roman" w:hAnsi="Times New Roman"/>
          <w:sz w:val="18"/>
          <w:szCs w:val="18"/>
          <w:color w:val="auto"/>
        </w:rPr>
        <w:t>This Waiver may be executed in counterparts, each of which shall be deemed an original, and all of which together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Delivery of an executed counterpart by electronic means shall have the same legal effect as delivery of an original executed counterpart.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00"/>
          </w:cols>
          <w:pgMar w:left="440" w:top="270" w:right="459" w:bottom="1440" w:gutter="0" w:footer="0" w:header="0"/>
        </w:sectPr>
      </w:pPr>
    </w:p>
    <w:bookmarkStart w:id="157" w:name="page158"/>
    <w:bookmarkEnd w:id="15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Waiver to be duly executed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the Company</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4517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Chad Robins</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0019"/>
          </w:cols>
          <w:pgMar w:left="440" w:top="270" w:right="1440" w:bottom="1440" w:gutter="0" w:footer="0" w:header="0"/>
        </w:sectPr>
      </w:pPr>
    </w:p>
    <w:bookmarkStart w:id="158" w:name="page159"/>
    <w:bookmarkEnd w:id="15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ORBIMED ROYALTY &amp; CREDIT OPPORTUNITIES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IV,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Purchaser Agent and a Purchaser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OrbiMed ROF IV LLC,</w:t>
            </w:r>
          </w:p>
        </w:tc>
      </w:tr>
      <w:tr>
        <w:trPr>
          <w:trHeight w:val="234"/>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74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By:   OrbiMed Advisors LLC,</w:t>
            </w:r>
          </w:p>
        </w:tc>
      </w:tr>
      <w:tr>
        <w:trPr>
          <w:trHeight w:val="234"/>
        </w:trPr>
        <w:tc>
          <w:tcPr>
            <w:tcW w:w="740" w:type="dxa"/>
            <w:vAlign w:val="bottom"/>
          </w:tcPr>
          <w:p>
            <w:pPr>
              <w:spacing w:after="0"/>
              <w:rPr>
                <w:sz w:val="20"/>
                <w:szCs w:val="20"/>
                <w:color w:val="auto"/>
              </w:rPr>
            </w:pPr>
          </w:p>
        </w:tc>
        <w:tc>
          <w:tcPr>
            <w:tcW w:w="3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Rizzo</w:t>
            </w: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Rizzo</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ORBIMED ROYALTY &amp; CREDIT OPPORTUNITIES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III,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Purchaser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OrbiMed ROF III LLC,</w:t>
            </w:r>
          </w:p>
        </w:tc>
      </w:tr>
      <w:tr>
        <w:trPr>
          <w:trHeight w:val="234"/>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74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By:   OrbiMed Advisors LLC,</w:t>
            </w:r>
          </w:p>
        </w:tc>
      </w:tr>
      <w:tr>
        <w:trPr>
          <w:trHeight w:val="234"/>
        </w:trPr>
        <w:tc>
          <w:tcPr>
            <w:tcW w:w="740" w:type="dxa"/>
            <w:vAlign w:val="bottom"/>
          </w:tcPr>
          <w:p>
            <w:pPr>
              <w:spacing w:after="0"/>
              <w:rPr>
                <w:sz w:val="20"/>
                <w:szCs w:val="20"/>
                <w:color w:val="auto"/>
              </w:rPr>
            </w:pPr>
          </w:p>
        </w:tc>
        <w:tc>
          <w:tcPr>
            <w:tcW w:w="3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Rizzo</w:t>
            </w: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Rizzo</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bl>
    <w:p>
      <w:pPr>
        <w:sectPr>
          <w:pgSz w:w="11900" w:h="16838" w:orient="portrait"/>
          <w:cols w:equalWidth="0" w:num="1">
            <w:col w:w="10020"/>
          </w:cols>
          <w:pgMar w:left="1440" w:top="266" w:right="439" w:bottom="1440" w:gutter="0" w:footer="0" w:header="0"/>
        </w:sectPr>
      </w:pPr>
    </w:p>
    <w:bookmarkStart w:id="159" w:name="page160"/>
    <w:bookmarkEnd w:id="15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ORBIMED ROYALTY &amp; CREDIT OPPORTUNITIES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IV OFFSHORE,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Purchaser</w:t>
      </w:r>
    </w:p>
    <w:p>
      <w:pPr>
        <w:sectPr>
          <w:pgSz w:w="11900" w:h="16838" w:orient="portrait"/>
          <w:cols w:equalWidth="0" w:num="1">
            <w:col w:w="9860"/>
          </w:cols>
          <w:pgMar w:left="1440" w:top="266" w:right="599" w:bottom="1440" w:gutter="0" w:footer="0" w:header="0"/>
        </w:sectPr>
      </w:pP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OrbiMed ROF IV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ectPr>
          <w:pgSz w:w="11900" w:h="16838" w:orient="portrait"/>
          <w:cols w:equalWidth="0" w:num="2">
            <w:col w:w="5880" w:space="320"/>
            <w:col w:w="3660"/>
          </w:cols>
          <w:pgMar w:left="1440" w:top="266" w:right="599" w:bottom="1440" w:gutter="0" w:footer="0" w:header="0"/>
          <w:type w:val="continuous"/>
        </w:sectPr>
      </w:pP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Managing Member</w:t>
      </w:r>
    </w:p>
    <w:p>
      <w:pPr>
        <w:sectPr>
          <w:pgSz w:w="11900" w:h="16838" w:orient="portrait"/>
          <w:cols w:equalWidth="0" w:num="1">
            <w:col w:w="9860"/>
          </w:cols>
          <w:pgMar w:left="1440" w:top="266" w:right="599" w:bottom="1440" w:gutter="0" w:footer="0" w:header="0"/>
          <w:type w:val="continuous"/>
        </w:sectPr>
      </w:pP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Matthew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2425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Matthew Rizzo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Member</w:t>
      </w:r>
    </w:p>
    <w:p>
      <w:pPr>
        <w:sectPr>
          <w:pgSz w:w="11900" w:h="16838" w:orient="portrait"/>
          <w:cols w:equalWidth="0" w:num="1">
            <w:col w:w="9860"/>
          </w:cols>
          <w:pgMar w:left="1440" w:top="266" w:right="59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 Prices Upsized $300 Million Convertible Senior Notes Offering</w:t>
      </w:r>
    </w:p>
    <w:p>
      <w:pPr>
        <w:spacing w:after="0" w:line="131" w:lineRule="exact"/>
        <w:rPr>
          <w:sz w:val="20"/>
          <w:szCs w:val="20"/>
          <w:color w:val="auto"/>
        </w:rPr>
      </w:pPr>
    </w:p>
    <w:p>
      <w:pPr>
        <w:ind w:left="960" w:hanging="424"/>
        <w:spacing w:after="0"/>
        <w:tabs>
          <w:tab w:leader="none" w:pos="9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Proceeds expected to be deployed to repay the OrbiMed Purchase Agreement to enhance financial flexibility</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6" w:lineRule="auto"/>
        <w:tabs>
          <w:tab w:leader="none" w:pos="9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Additional proceeds used to pay for the capped call with a premium of 100% and to repurchase $25 million of common stock to reduce potential dilution</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Remaining capital to be used for general corporate purposes and opportunistic initiatives in the MRD business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SEATTLE—(GLOBE NEWSWIRE)—June 17, 2026—Adaptive Biotechnologies Corporation (“Adaptive Biotechnologies”) (Nasdaq: ADPT) today announced the pricing of its offering of $300 million aggregate principal amount of 0% convertible senior notes due 2031 (the “notes”) in a private offering to persons reasonably believed to be qualified institutional buyers pursuant to Rule 144A under the Securities Act of 1933, as amended (the “Securities Act”). The offering size was increased from the previously announced offering size of $250 million aggregate principal amount of notes. The issuance and sale of the notes are scheduled to settle on June 22, 2026, subject to customary closing conditions. Adaptive Biotechnologies also granted the initial purchasers of the notes an option to purchase, for settlement within a period of 13 days from, and including, the date the notes are first issued, up to an additional $45 million aggregate principal amount of notes.</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notes will be senior, unsecured obligations of Adaptive Biotechnologies. The notes will not bear regular interest, and the principal amount of the notes will not accrete. The notes will mature on July 1, 2031, unless earlier repurchased, redeemed or converted. Before April 1, 2031, noteholders will have the right to convert their notes only upon the occurrence of certain events. From and including April 1, 2031, noteholders may convert their notes at any time at their election until the close of business on the second scheduled trading day immediately before the maturity date. Adaptive Biotechnologies will settle conversions by paying or delivering, as applicable, cash, shares of its common stock or a combination of cash and shares of its common stock, at Adaptive Biotechnologies’s election. The initial conversion rate is 41.48 shares of common stock per $1,000 principal amount of notes, which represents an initial conversion price of approximately $24.11 per share of common stock. The initial conversion price represents a premium of approximately 40.0% over the last reported sale price of $17.22 per share of Adaptive Biotechnologies’s common stock on June 16, 2026. The conversion rate and conversion price will be subject to adjustment upon the occurrence of certain events.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for cash at Adaptive Biotechnologies’s option at any time, and from time to time, on or after July 1, 2029 and on or before the 40th scheduled trading day immediately before the maturity date, but only if the last reported sale price per share of Adaptive Biotechnologies’s common stock exceeds 130% of the conversion price for a specified period of time and certain other conditions are satisfied. In addition, the notes will be redeemable, in whole and not in part, at Adaptive Biotechnologies’s option at any time, if the aggregate principal amount of the notes that remain outstanding is less than 15% of the aggregate principal amount of notes initially issued under the indenture and certain other conditions are satisfied. The redemption price will be equal to the principal amount of the notes to be redeemed, plus accrued and unpaid special interest and additional interest, if any, to, but excluding, the redemption date.</w:t>
      </w:r>
    </w:p>
    <w:p>
      <w:pPr>
        <w:sectPr>
          <w:pgSz w:w="11900" w:h="16838" w:orient="portrait"/>
          <w:cols w:equalWidth="0" w:num="1">
            <w:col w:w="11020"/>
          </w:cols>
          <w:pgMar w:left="440" w:top="117" w:right="439" w:bottom="1440" w:gutter="0" w:footer="0" w:header="0"/>
        </w:sectPr>
      </w:pPr>
    </w:p>
    <w:bookmarkStart w:id="161" w:name="page162"/>
    <w:bookmarkEnd w:id="161"/>
    <w:p>
      <w:pPr>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“fundamental change” (as defined in the indenture for the notes) occurs, then, subject to a limited exception, noteholders may require Adaptive Biotechnologies to repurchase their notes for cash. The repurchase price will be equal to the principal amount of the notes to be repurchased, plus accrued and unpaid special interest and additional interest, if any, to, but excluding, the applicable repurchase date.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Adaptive Biotechnologies estimates that the net proceeds from the offering will be approximately $290.8 million (or approximately $334.5 million if the initial purchasers fully exercise their option to purchase additional notes), after deducting the initial purchasers’ discounts and commissions and Adaptive Biotechnologies’s estimated offering expenses. Adaptive Biotechnologies intends to use approximately $22.3 million of the net proceeds to fund the cost of entering into the capped call transactions described below. Adaptive Biotechnologies expects to use approximately $25.0 million of the net proceeds to repurchase 1,451,800 shares of its common stock concurrently with the offering in privately negotiated transactions effected through one of the initial purchasers of the notes or its affiliate, as Adaptive Biotechnologies’s agent. Adaptive Biotechnologies intends to use the remainder of the net proceeds from the offering for the repayment of the OrbiMed Purchase Agreement, general corporate purposes and opportunistic initiatives in the MRD business. If the initial purchasers exercise their option to purchase additional notes, then Adaptive Biotechnologies intends to use a portion of the additional net proceeds to fund the cost of entering into additional capped call transactions as described below. The concurrent repurchases of shares of Adaptive Biotechnologies’s common stock described above may result in Adaptive Biotechnologies’s common stock trading at prices that are higher than would be the case in the absence of these repurchases and may have affected the initial terms of the notes, including the initial conversion price.</w:t>
      </w:r>
    </w:p>
    <w:p>
      <w:pPr>
        <w:spacing w:after="0" w:line="1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notes, Adaptive Biotechnologies has been advised that J. Wood Capital Advisors LLC (“JWCA”), Adaptive Biotechnologies’s financial advisor with respect to the offering, has agreed to purchase approximately $10 million of shares of common stock concurrently with the offering in privately negotiated transactions with institutional investors through one of the initial purchasers or its affiliate (the “JWCA Purchase”).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Adaptive Biotechnologies entered into privately negotiated capped call transactions with one or more of the initial purchasers or their affiliates or one or more other financial institutions (the “option counterparties”). The capped call transactions will cover, subject to anti-dilution adjustments substantially similar to those applicable to the notes, the number of shares of Adaptive Biotechnologies’s common stock underlying the notes. If the initial purchasers exercise their option to purchase additional notes, then Adaptive Biotechnologies expects to enter into additional capped call transactions with the option counterparties.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cap price of the capped call transactions will initially be $34.44 per share, which represents a premium of 100% over the last reported sale price of Adaptive Biotechnologies’s common stock of $17.22 per share on June 16, 2026, and is subject to certain adjustments under the terms of the capped call transactions.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162" w:name="page163"/>
    <w:bookmarkEnd w:id="162"/>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capped call transactions are expected generally to reduce the potential dilution to Adaptive Biotechnologies’s common stock upon any conversion of the notes and/or offset any potential cash payments Adaptive Biotechnologies is required to make in excess of the principal amount of converted notes, as the case may be, upon conversion of the notes. If, however, the market price per share of Adaptive Biotechnologies’s common stock,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the option counterparties or their respective affiliates expect to enter into various derivative transactions with respect to Adaptive Biotechnologies’s common stock and/or purchase shares of Adaptive Biotechnologies’s common stock concurrently with or shortly after the pricing of the notes. This activity, as well as the JWCA Purchase, could increase (or reduce the size of any decrease in) the market price of Adaptive Biotechnologies’s common stock or the notes at that time.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Adaptive Biotechnologies’s common stock and/or purchasing or selling Adaptive Biotechnologies’s common stock or other securities of Adaptive Biotechnologies in secondary market transactions following the pricing of the notes and prior to the maturity of the notes (and (x) are likely to do so during any observation period related to a conversion of notes or following any repurchase of notes by Adaptive Biotechnologies in connection with any fundamental change and (y) may do so following any repurchase of notes by Adaptive Biotechnologies other than in connection with any fundamental change). This activity, as well as the JWCA Purchase, could also cause or avoid an increase or decrease in the market price of Adaptive Biotechnologies’s common stock or the notes, which could affect the ability to convert the notes, and, to the extent the activity occurs during any observation period related to a conversion of notes, it could affect the number of shares and value of the consideration that noteholders will receive upon conversion of the notes.</w:t>
      </w:r>
    </w:p>
    <w:p>
      <w:pPr>
        <w:spacing w:after="0" w:line="18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As described above, Adaptive Biotechnologies intends to use a portion of the net proceeds of the offering to repurchase shares of its common stock concurrently with the pricing of the offering in privately negotiated transactions. These repurchases, and any other repurchases of shares of Adaptive Biotechnologies’s common stock, may increase, or reduce the size of a decrease in, the trading price of Adaptive Biotechnologies’s common stock, and repurchases executed concurrently with the pricing of the offering may have affected the initial terms of the notes, including the initial conversion price.</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offer and sale of the notes and any shares of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common stock issuable upon conversion of the notes, nor will there be any sale of the notes or any such shares, in any state or other jurisdiction in which such offer, sale or solicitation would be unlawful.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40" w:top="270"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Adaptive Biotechnologies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Adaptive Biotechnologies (“we” or “our”) is a commercial-stage biotechnology company focused on harnessing the inherent biology of the adaptive immune system to transform the diagnosis and treatment of disease. We believe the adaptive immune system is nature’s most finely tuned diagnostic and therapeutic for most diseases, but the inability to decode it has prevented the medical community from fully leveraging its capabilities. Our proprietary immune medicine platform reveals and translates the massive genetics of the adaptive immune system with scale, precision and speed. We apply our platform to partner with biopharmaceutical companies, inform drug development, and develop clinical diagnostics across our two business segments: Minimal Residual Disease (MRD) and Immune Medicine. Our commercial products and clinical pipeline enable the diagnosis, monitoring, and treatment of diseases such as cancer and autoimmune disorders. Our goal is to develop and commercialize immune-driven clinical products tailored to each individual patient.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including statements regarding the completion of the offering, the expected amount and intended use of the net proceeds and the effects of entering into the capped call transactions described above. Forward-looking statements represent Adaptive Biotechnologies’s current expectations regarding future events and are subject to known and unknown risks and uncertainties that could cause actual results to differ materially from those implied by the forward-looking statements. Among those risks and uncertainties are market conditions, the satisfaction of the closing conditions related to the offering and risks relating to Adaptive Biotechnologies’s business, including those described in periodic reports that Adaptive Biotechnologies files from time to time with the SEC. Adaptive Biotechnologies may not consummate the offering described in this press release and, if the offering is consummated, cannot provide any assurances regarding its ability to effectively apply the net proceeds as described above. The forward-looking statements included in this press release speak only as of the date of this press release, and Adaptive Biotechnologies does not undertake to update the statements included in this press release for subsequent developments, except as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Karina Calzadilla, Vice President, Investor Relations and FP&amp;A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201-396-1687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investors@adaptivebiotech.com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Jones, Associate Corporate Communications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206-279-2423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media@adaptivebiotech.com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1)"/>
      <w:numFmt w:val="upperLetter"/>
      <w:start w:val="1"/>
    </w:lvl>
    <w:lvl w:ilvl="1">
      <w:lvlJc w:val="left"/>
      <w:lvlText w:val="-"/>
      <w:numFmt w:val="bullet"/>
      <w:start w:val="1"/>
    </w:lvl>
  </w:abstractNum>
  <w:abstractNum w:abstractNumId="2">
    <w:nsid w:val="4C9B0904"/>
    <w:multiLevelType w:val="hybridMultilevel"/>
    <w:lvl w:ilvl="0">
      <w:lvlJc w:val="left"/>
      <w:lvlText w:val="%1"/>
      <w:numFmt w:val="lowerRoman"/>
      <w:start w:val="1"/>
    </w:lvl>
    <w:lvl w:ilvl="1">
      <w:lvlJc w:val="left"/>
      <w:lvlText w:val="(%2)"/>
      <w:numFmt w:val="upperLetter"/>
      <w:start w:val="2"/>
    </w:lvl>
  </w:abstractNum>
  <w:abstractNum w:abstractNumId="3">
    <w:nsid w:val="6AA7B75C"/>
    <w:multiLevelType w:val="hybridMultilevel"/>
    <w:lvl w:ilvl="0">
      <w:lvlJc w:val="left"/>
      <w:lvlText w:val="(%1)"/>
      <w:numFmt w:val="lowerRoman"/>
      <w:start w:val="2"/>
    </w:lvl>
    <w:lvl w:ilvl="1">
      <w:lvlJc w:val="left"/>
      <w:lvlText w:val="(%2)"/>
      <w:numFmt w:val="upperLetter"/>
      <w:start w:val="3"/>
    </w:lvl>
  </w:abstractNum>
  <w:abstractNum w:abstractNumId="4">
    <w:nsid w:val="1DF029D3"/>
    <w:multiLevelType w:val="hybridMultilevel"/>
    <w:lvl w:ilvl="0">
      <w:lvlJc w:val="left"/>
      <w:lvlText w:val="(%1)"/>
      <w:numFmt w:val="upperLetter"/>
      <w:start w:val="4"/>
    </w:lvl>
  </w:abstractNum>
  <w:abstractNum w:abstractNumId="5">
    <w:nsid w:val="5675FF36"/>
    <w:multiLevelType w:val="hybridMultilevel"/>
    <w:lvl w:ilvl="0">
      <w:lvlJc w:val="left"/>
      <w:lvlText w:val="(%1)"/>
      <w:numFmt w:val="upperLetter"/>
      <w:start w:val="1"/>
    </w:lvl>
  </w:abstractNum>
  <w:abstractNum w:abstractNumId="6">
    <w:nsid w:val="3DD15094"/>
    <w:multiLevelType w:val="hybridMultilevel"/>
    <w:lvl w:ilvl="0">
      <w:lvlJc w:val="left"/>
      <w:lvlText w:val="(%1)"/>
      <w:numFmt w:val="decimal"/>
      <w:start w:val="40"/>
    </w:lvl>
  </w:abstractNum>
  <w:abstractNum w:abstractNumId="7">
    <w:nsid w:val="3DB012B3"/>
    <w:multiLevelType w:val="hybridMultilevel"/>
    <w:lvl w:ilvl="0">
      <w:lvlJc w:val="left"/>
      <w:lvlText w:val="(%1)"/>
      <w:numFmt w:val="decimal"/>
      <w:start w:val="5"/>
    </w:lvl>
  </w:abstractNum>
  <w:abstractNum w:abstractNumId="8">
    <w:nsid w:val="2708C9AF"/>
    <w:multiLevelType w:val="hybridMultilevel"/>
    <w:lvl w:ilvl="0">
      <w:lvlJc w:val="left"/>
      <w:lvlText w:val="(%1)"/>
      <w:numFmt w:val="upperLetter"/>
      <w:start w:val="1"/>
    </w:lvl>
    <w:lvl w:ilvl="1">
      <w:lvlJc w:val="left"/>
      <w:lvlText w:val="-"/>
      <w:numFmt w:val="bullet"/>
      <w:start w:val="1"/>
    </w:lvl>
  </w:abstractNum>
  <w:abstractNum w:abstractNumId="9">
    <w:nsid w:val="5B25ACE2"/>
    <w:multiLevelType w:val="hybridMultilevel"/>
    <w:lvl w:ilvl="0">
      <w:lvlJc w:val="left"/>
      <w:lvlText w:val="(%1)"/>
      <w:numFmt w:val="upperLetter"/>
      <w:start w:val="1"/>
    </w:lvl>
    <w:lvl w:ilvl="1">
      <w:lvlJc w:val="left"/>
      <w:lvlText w:val="-"/>
      <w:numFmt w:val="bullet"/>
      <w:start w:val="1"/>
    </w:lvl>
  </w:abstractNum>
  <w:abstractNum w:abstractNumId="10">
    <w:nsid w:val="175DFCF0"/>
    <w:multiLevelType w:val="hybridMultilevel"/>
    <w:lvl w:ilvl="0">
      <w:lvlJc w:val="left"/>
      <w:lvlText w:val="(%1)"/>
      <w:numFmt w:val="upperLetter"/>
      <w:start w:val="8"/>
    </w:lvl>
  </w:abstractNum>
  <w:abstractNum w:abstractNumId="11">
    <w:nsid w:val="4F97E3E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2">
    <w:nsid w:val="53B0A9E"/>
    <w:multiLevelType w:val="hybridMultilevel"/>
    <w:lvl w:ilvl="0">
      <w:lvlJc w:val="left"/>
      <w:lvlText w:val="%1"/>
      <w:numFmt w:val="lowerLetter"/>
      <w:start w:val="1"/>
    </w:lvl>
    <w:lvl w:ilvl="1">
      <w:lvlJc w:val="left"/>
      <w:lvlText w:val="(%2)"/>
      <w:numFmt w:val="lowerLetter"/>
      <w:start w:val="35"/>
    </w:lvl>
  </w:abstractNum>
  <w:abstractNum w:abstractNumId="13">
    <w:nsid w:val="34FD6B4F"/>
    <w:multiLevelType w:val="hybridMultilevel"/>
    <w:lvl w:ilvl="0">
      <w:lvlJc w:val="left"/>
      <w:lvlText w:val="(%1)"/>
      <w:numFmt w:val="lowerLetter"/>
      <w:start w:val="2"/>
    </w:lvl>
    <w:lvl w:ilvl="1">
      <w:lvlJc w:val="left"/>
      <w:lvlText w:val="(%2)"/>
      <w:numFmt w:val="lowerLetter"/>
      <w:start w:val="61"/>
    </w:lvl>
  </w:abstractNum>
  <w:abstractNum w:abstractNumId="14">
    <w:nsid w:val="5915FF32"/>
    <w:multiLevelType w:val="hybridMultilevel"/>
    <w:lvl w:ilvl="0">
      <w:lvlJc w:val="left"/>
      <w:lvlText w:val="(%1)"/>
      <w:numFmt w:val="upperLetter"/>
      <w:start w:val="1"/>
    </w:lvl>
    <w:lvl w:ilvl="1">
      <w:lvlJc w:val="left"/>
      <w:lvlText w:val="-"/>
      <w:numFmt w:val="bullet"/>
      <w:start w:val="1"/>
    </w:lvl>
  </w:abstractNum>
  <w:abstractNum w:abstractNumId="15">
    <w:nsid w:val="56438D15"/>
    <w:multiLevelType w:val="hybridMultilevel"/>
    <w:lvl w:ilvl="0">
      <w:lvlJc w:val="left"/>
      <w:lvlText w:val="(%1)"/>
      <w:numFmt w:val="upperLetter"/>
      <w:start w:val="1"/>
    </w:lvl>
  </w:abstractNum>
  <w:abstractNum w:abstractNumId="16">
    <w:nsid w:val="519E3149"/>
    <w:multiLevelType w:val="hybridMultilevel"/>
    <w:lvl w:ilvl="0">
      <w:lvlJc w:val="left"/>
      <w:lvlText w:val="(%1)"/>
      <w:numFmt w:val="upperLetter"/>
      <w:start w:val="1"/>
    </w:lvl>
    <w:lvl w:ilvl="1">
      <w:lvlJc w:val="left"/>
      <w:lvlText w:val="-"/>
      <w:numFmt w:val="bullet"/>
      <w:start w:val="1"/>
    </w:lvl>
  </w:abstractNum>
  <w:abstractNum w:abstractNumId="17">
    <w:nsid w:val="2C6E4AFD"/>
    <w:multiLevelType w:val="hybridMultilevel"/>
    <w:lvl w:ilvl="0">
      <w:lvlJc w:val="left"/>
      <w:lvlText w:val="(%1)"/>
      <w:numFmt w:val="upperLetter"/>
      <w:start w:val="2"/>
    </w:lvl>
    <w:lvl w:ilvl="1">
      <w:lvlJc w:val="left"/>
      <w:lvlText w:val="(%2)"/>
      <w:numFmt w:val="lowerRoman"/>
      <w:start w:val="1"/>
    </w:lvl>
  </w:abstractNum>
  <w:abstractNum w:abstractNumId="18">
    <w:nsid w:val="17A1B582"/>
    <w:multiLevelType w:val="hybridMultilevel"/>
    <w:lvl w:ilvl="0">
      <w:lvlJc w:val="left"/>
      <w:lvlText w:val="(%1)"/>
      <w:numFmt w:val="upperLetter"/>
      <w:start w:val="3"/>
    </w:lvl>
    <w:lvl w:ilvl="1">
      <w:lvlJc w:val="left"/>
      <w:lvlText w:val="-"/>
      <w:numFmt w:val="bullet"/>
      <w:start w:val="1"/>
    </w:lvl>
  </w:abstractNum>
  <w:abstractNum w:abstractNumId="19">
    <w:nsid w:val="4DF72E4E"/>
    <w:multiLevelType w:val="hybridMultilevel"/>
    <w:lvl w:ilvl="0">
      <w:lvlJc w:val="left"/>
      <w:lvlText w:val="(%1)"/>
      <w:numFmt w:val="upperLetter"/>
      <w:start w:val="1"/>
    </w:lvl>
  </w:abstractNum>
  <w:abstractNum w:abstractNumId="20">
    <w:nsid w:val="5046B5A9"/>
    <w:multiLevelType w:val="hybridMultilevel"/>
    <w:lvl w:ilvl="0">
      <w:lvlJc w:val="left"/>
      <w:lvlText w:val="(%1)"/>
      <w:numFmt w:val="upperLetter"/>
      <w:start w:val="2"/>
    </w:lvl>
    <w:lvl w:ilvl="1">
      <w:lvlJc w:val="left"/>
      <w:lvlText w:val="-"/>
      <w:numFmt w:val="bullet"/>
      <w:start w:val="1"/>
    </w:lvl>
  </w:abstractNum>
  <w:abstractNum w:abstractNumId="21">
    <w:nsid w:val="5D888A08"/>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2">
    <w:nsid w:val="2A082C70"/>
    <w:multiLevelType w:val="hybridMultilevel"/>
    <w:lvl w:ilvl="0">
      <w:lvlJc w:val="left"/>
      <w:lvlText w:val="(%1)"/>
      <w:numFmt w:val="upperLetter"/>
      <w:start w:val="4"/>
    </w:lvl>
    <w:lvl w:ilvl="1">
      <w:lvlJc w:val="left"/>
      <w:lvlText w:val="(%2)"/>
      <w:numFmt w:val="lowerRoman"/>
      <w:start w:val="1"/>
    </w:lvl>
  </w:abstractNum>
  <w:abstractNum w:abstractNumId="23">
    <w:nsid w:val="5EC6AFD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4">
    <w:nsid w:val="19E21BB2"/>
    <w:multiLevelType w:val="hybridMultilevel"/>
    <w:lvl w:ilvl="0">
      <w:lvlJc w:val="left"/>
      <w:lvlText w:val="%1"/>
      <w:numFmt w:val="upperLetter"/>
      <w:start w:val="1"/>
    </w:lvl>
    <w:lvl w:ilvl="1">
      <w:lvlJc w:val="left"/>
      <w:lvlText w:val="(%2)"/>
      <w:numFmt w:val="lowerRoman"/>
      <w:start w:val="5"/>
    </w:lvl>
    <w:lvl w:ilvl="2">
      <w:lvlJc w:val="left"/>
      <w:lvlText w:val="-"/>
      <w:numFmt w:val="bullet"/>
      <w:start w:val="1"/>
    </w:lvl>
  </w:abstractNum>
  <w:abstractNum w:abstractNumId="25">
    <w:nsid w:val="75E0858A"/>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26">
    <w:nsid w:val="57A61A29"/>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27">
    <w:nsid w:val="5399C654"/>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28">
    <w:nsid w:val="20EE1348"/>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29">
    <w:nsid w:val="4427069A"/>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30">
    <w:nsid w:val="B37E80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31">
    <w:nsid w:val="2157F6B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lvl w:ilvl="3">
      <w:lvlJc w:val="left"/>
      <w:lvlText w:val="%4"/>
      <w:numFmt w:val="lowerLetter"/>
      <w:start w:val="1"/>
    </w:lvl>
  </w:abstractNum>
  <w:abstractNum w:abstractNumId="32">
    <w:nsid w:val="704E1DD5"/>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33">
    <w:nsid w:val="57D2F10E"/>
    <w:multiLevelType w:val="hybridMultilevel"/>
    <w:lvl w:ilvl="0">
      <w:lvlJc w:val="left"/>
      <w:lvlText w:val="(%1)"/>
      <w:numFmt w:val="upperLetter"/>
      <w:start w:val="5"/>
    </w:lvl>
  </w:abstractNum>
  <w:abstractNum w:abstractNumId="34">
    <w:nsid w:val="BFFAE18"/>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35">
    <w:nsid w:val="E3E47A8"/>
    <w:multiLevelType w:val="hybridMultilevel"/>
    <w:lvl w:ilvl="0">
      <w:lvlJc w:val="left"/>
      <w:lvlText w:val="(%1)"/>
      <w:numFmt w:val="lowerRoman"/>
      <w:start w:val="2"/>
    </w:lvl>
  </w:abstractNum>
  <w:abstractNum w:abstractNumId="36">
    <w:nsid w:val="2E48F044"/>
    <w:multiLevelType w:val="hybridMultilevel"/>
    <w:lvl w:ilvl="0">
      <w:lvlJc w:val="left"/>
      <w:lvlText w:val="(%1)"/>
      <w:numFmt w:val="lowerRoman"/>
      <w:start w:val="2"/>
    </w:lvl>
  </w:abstractNum>
  <w:abstractNum w:abstractNumId="37">
    <w:nsid w:val="49D0FEAC"/>
    <w:multiLevelType w:val="hybridMultilevel"/>
    <w:lvl w:ilvl="0">
      <w:lvlJc w:val="left"/>
      <w:lvlText w:val="(%1)"/>
      <w:numFmt w:val="upperLetter"/>
      <w:start w:val="1"/>
    </w:lvl>
  </w:abstractNum>
  <w:abstractNum w:abstractNumId="38">
    <w:nsid w:val="4BEE5A5B"/>
    <w:multiLevelType w:val="hybridMultilevel"/>
    <w:lvl w:ilvl="0">
      <w:lvlJc w:val="left"/>
      <w:lvlText w:val="(%1)"/>
      <w:numFmt w:val="upperLetter"/>
      <w:start w:val="1"/>
    </w:lvl>
  </w:abstractNum>
  <w:abstractNum w:abstractNumId="39">
    <w:nsid w:val="5551B9F3"/>
    <w:multiLevelType w:val="hybridMultilevel"/>
    <w:lvl w:ilvl="0">
      <w:lvlJc w:val="left"/>
      <w:lvlText w:val="(%1)"/>
      <w:numFmt w:val="upperLetter"/>
      <w:start w:val="1"/>
    </w:lvl>
  </w:abstractNum>
  <w:abstractNum w:abstractNumId="40">
    <w:nsid w:val="24F6AB8E"/>
    <w:multiLevelType w:val="hybridMultilevel"/>
    <w:lvl w:ilvl="0">
      <w:lvlJc w:val="left"/>
      <w:lvlText w:val="(%1)"/>
      <w:numFmt w:val="upperLetter"/>
      <w:start w:val="2"/>
    </w:lvl>
  </w:abstractNum>
  <w:abstractNum w:abstractNumId="41">
    <w:nsid w:val="634C574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42">
    <w:nsid w:val="24E99DD7"/>
    <w:multiLevelType w:val="hybridMultilevel"/>
    <w:lvl w:ilvl="0">
      <w:lvlJc w:val="left"/>
      <w:lvlText w:val="%1"/>
      <w:numFmt w:val="upperLetter"/>
      <w:start w:val="1"/>
    </w:lvl>
    <w:lvl w:ilvl="1">
      <w:lvlJc w:val="left"/>
      <w:lvlText w:val="(%2)"/>
      <w:numFmt w:val="lowerRoman"/>
      <w:start w:val="2"/>
    </w:lvl>
  </w:abstractNum>
  <w:abstractNum w:abstractNumId="43">
    <w:nsid w:val="2A31B62D"/>
    <w:multiLevelType w:val="hybridMultilevel"/>
    <w:lvl w:ilvl="0">
      <w:lvlJc w:val="left"/>
      <w:lvlText w:val="(%1)"/>
      <w:numFmt w:val="upperLetter"/>
      <w:start w:val="2"/>
    </w:lvl>
    <w:lvl w:ilvl="1">
      <w:lvlJc w:val="left"/>
      <w:lvlText w:val="%2"/>
      <w:numFmt w:val="lowerRoman"/>
      <w:start w:val="1"/>
    </w:lvl>
  </w:abstractNum>
  <w:abstractNum w:abstractNumId="44">
    <w:nsid w:val="1849C29B"/>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45">
    <w:nsid w:val="7DFF9D09"/>
    <w:multiLevelType w:val="hybridMultilevel"/>
    <w:lvl w:ilvl="0">
      <w:lvlJc w:val="left"/>
      <w:lvlText w:val="%1"/>
      <w:numFmt w:val="decimal"/>
      <w:start w:val="1"/>
    </w:lvl>
    <w:lvl w:ilvl="1">
      <w:lvlJc w:val="left"/>
      <w:lvlText w:val="(%2)"/>
      <w:numFmt w:val="lowerRoman"/>
      <w:start w:val="3"/>
    </w:lvl>
  </w:abstractNum>
  <w:abstractNum w:abstractNumId="46">
    <w:nsid w:val="754342"/>
    <w:multiLevelType w:val="hybridMultilevel"/>
    <w:lvl w:ilvl="0">
      <w:lvlJc w:val="left"/>
      <w:lvlText w:val="(%1)"/>
      <w:numFmt w:val="decimal"/>
      <w:start w:val="2"/>
    </w:lvl>
    <w:lvl w:ilvl="1">
      <w:lvlJc w:val="left"/>
      <w:lvlText w:val="%2"/>
      <w:numFmt w:val="lowerRoman"/>
      <w:start w:val="1"/>
    </w:lvl>
  </w:abstractNum>
  <w:abstractNum w:abstractNumId="47">
    <w:nsid w:val="69E7F3E5"/>
    <w:multiLevelType w:val="hybridMultilevel"/>
    <w:lvl w:ilvl="0">
      <w:lvlJc w:val="left"/>
      <w:lvlText w:val="(%1)"/>
      <w:numFmt w:val="upperLetter"/>
      <w:start w:val="4"/>
    </w:lvl>
  </w:abstractNum>
  <w:abstractNum w:abstractNumId="48">
    <w:nsid w:val="2A6DE806"/>
    <w:multiLevelType w:val="hybridMultilevel"/>
    <w:lvl w:ilvl="0">
      <w:lvlJc w:val="left"/>
      <w:lvlText w:val="(%1)"/>
      <w:numFmt w:val="upperLetter"/>
      <w:start w:val="1"/>
    </w:lvl>
    <w:lvl w:ilvl="1">
      <w:lvlJc w:val="left"/>
      <w:lvlText w:val="-"/>
      <w:numFmt w:val="bullet"/>
      <w:start w:val="1"/>
    </w:lvl>
  </w:abstractNum>
  <w:abstractNum w:abstractNumId="49">
    <w:nsid w:val="1816F8C4"/>
    <w:multiLevelType w:val="hybridMultilevel"/>
    <w:lvl w:ilvl="0">
      <w:lvlJc w:val="left"/>
      <w:lvlText w:val="(%1)"/>
      <w:numFmt w:val="upperLetter"/>
      <w:start w:val="2"/>
    </w:lvl>
  </w:abstractNum>
  <w:abstractNum w:abstractNumId="50">
    <w:nsid w:val="37DF2233"/>
    <w:multiLevelType w:val="hybridMultilevel"/>
    <w:lvl w:ilvl="0">
      <w:lvlJc w:val="left"/>
      <w:lvlText w:val="(%1)"/>
      <w:numFmt w:val="upperLetter"/>
      <w:start w:val="1"/>
    </w:lvl>
    <w:lvl w:ilvl="1">
      <w:lvlJc w:val="left"/>
      <w:lvlText w:val="-"/>
      <w:numFmt w:val="bullet"/>
      <w:start w:val="1"/>
    </w:lvl>
  </w:abstractNum>
  <w:abstractNum w:abstractNumId="51">
    <w:nsid w:val="7AB49DAF"/>
    <w:multiLevelType w:val="hybridMultilevel"/>
    <w:lvl w:ilvl="0">
      <w:lvlJc w:val="left"/>
      <w:lvlText w:val="(%1)"/>
      <w:numFmt w:val="upperLetter"/>
      <w:start w:val="2"/>
    </w:lvl>
  </w:abstractNum>
  <w:abstractNum w:abstractNumId="52">
    <w:nsid w:val="759F82CD"/>
    <w:multiLevelType w:val="hybridMultilevel"/>
    <w:lvl w:ilvl="0">
      <w:lvlJc w:val="left"/>
      <w:lvlText w:val="(%1)"/>
      <w:numFmt w:val="lowerRoman"/>
      <w:start w:val="1"/>
    </w:lvl>
  </w:abstractNum>
  <w:abstractNum w:abstractNumId="53">
    <w:nsid w:val="61E74EA3"/>
    <w:multiLevelType w:val="hybridMultilevel"/>
    <w:lvl w:ilvl="0">
      <w:lvlJc w:val="left"/>
      <w:lvlText w:val="(%1)"/>
      <w:numFmt w:val="lowerRoman"/>
      <w:start w:val="3"/>
    </w:lvl>
  </w:abstractNum>
  <w:abstractNum w:abstractNumId="54">
    <w:nsid w:val="597B4D84"/>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55">
    <w:nsid w:val="F819E7F"/>
    <w:multiLevelType w:val="hybridMultilevel"/>
    <w:lvl w:ilvl="0">
      <w:lvlJc w:val="left"/>
      <w:lvlText w:val="(%1)"/>
      <w:numFmt w:val="lowerRoman"/>
      <w:start w:val="2"/>
    </w:lvl>
    <w:lvl w:ilvl="1">
      <w:lvlJc w:val="left"/>
      <w:lvlText w:val="(%2)"/>
      <w:numFmt w:val="decimal"/>
      <w:start w:val="1"/>
    </w:lvl>
  </w:abstractNum>
  <w:abstractNum w:abstractNumId="56">
    <w:nsid w:val="57C7D42D"/>
    <w:multiLevelType w:val="hybridMultilevel"/>
    <w:lvl w:ilvl="0">
      <w:lvlJc w:val="left"/>
      <w:lvlText w:val="(%1)"/>
      <w:numFmt w:val="lowerRoman"/>
      <w:start w:val="3"/>
    </w:lvl>
    <w:lvl w:ilvl="1">
      <w:lvlJc w:val="left"/>
      <w:lvlText w:val="(%2)"/>
      <w:numFmt w:val="decimal"/>
      <w:start w:val="1"/>
    </w:lvl>
  </w:abstractNum>
  <w:abstractNum w:abstractNumId="57">
    <w:nsid w:val="312167AD"/>
    <w:multiLevelType w:val="hybridMultilevel"/>
    <w:lvl w:ilvl="0">
      <w:lvlJc w:val="left"/>
      <w:lvlText w:val="%1"/>
      <w:numFmt w:val="lowerLetter"/>
      <w:start w:val="1"/>
    </w:lvl>
    <w:lvl w:ilvl="1">
      <w:lvlJc w:val="left"/>
      <w:lvlText w:val="(%2)"/>
      <w:numFmt w:val="upperLetter"/>
      <w:start w:val="7"/>
    </w:lvl>
    <w:lvl w:ilvl="2">
      <w:lvlJc w:val="left"/>
      <w:lvlText w:val="-"/>
      <w:numFmt w:val="bullet"/>
      <w:start w:val="1"/>
    </w:lvl>
  </w:abstractNum>
  <w:abstractNum w:abstractNumId="58">
    <w:nsid w:val="631B64D4"/>
    <w:multiLevelType w:val="hybridMultilevel"/>
    <w:lvl w:ilvl="0">
      <w:lvlJc w:val="left"/>
      <w:lvlText w:val="(%1)"/>
      <w:numFmt w:val="lowerLetter"/>
      <w:start w:val="25"/>
    </w:lvl>
    <w:lvl w:ilvl="1">
      <w:lvlJc w:val="left"/>
      <w:lvlText w:val="(%2)"/>
      <w:numFmt w:val="upperLetter"/>
      <w:start w:val="8"/>
    </w:lvl>
    <w:lvl w:ilvl="2">
      <w:lvlJc w:val="left"/>
      <w:lvlText w:val="-"/>
      <w:numFmt w:val="bullet"/>
      <w:start w:val="1"/>
    </w:lvl>
  </w:abstractNum>
  <w:abstractNum w:abstractNumId="59">
    <w:nsid w:val="78B5E776"/>
    <w:multiLevelType w:val="hybridMultilevel"/>
    <w:lvl w:ilvl="0">
      <w:lvlJc w:val="left"/>
      <w:lvlText w:val="(%1)"/>
      <w:numFmt w:val="upperLetter"/>
      <w:start w:val="10"/>
    </w:lvl>
  </w:abstractNum>
  <w:abstractNum w:abstractNumId="60">
    <w:nsid w:val="75486E47"/>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61">
    <w:nsid w:val="6E534CDE"/>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62">
    <w:nsid w:val="1A0DDE32"/>
    <w:multiLevelType w:val="hybridMultilevel"/>
    <w:lvl w:ilvl="0">
      <w:lvlJc w:val="left"/>
      <w:lvlText w:val="%1"/>
      <w:numFmt w:val="lowerRoman"/>
      <w:start w:val="1"/>
    </w:lvl>
    <w:lvl w:ilvl="1">
      <w:lvlJc w:val="left"/>
      <w:lvlText w:val="(%2)"/>
      <w:numFmt w:val="upperLetter"/>
      <w:start w:val="3"/>
    </w:lvl>
    <w:lvl w:ilvl="2">
      <w:lvlJc w:val="left"/>
      <w:lvlText w:val="-"/>
      <w:numFmt w:val="bullet"/>
      <w:start w:val="1"/>
    </w:lvl>
  </w:abstractNum>
  <w:abstractNum w:abstractNumId="63">
    <w:nsid w:val="65968C1C"/>
    <w:multiLevelType w:val="hybridMultilevel"/>
    <w:lvl w:ilvl="0">
      <w:lvlJc w:val="left"/>
      <w:lvlText w:val="(%1)"/>
      <w:numFmt w:val="lowerRoman"/>
      <w:start w:val="1"/>
    </w:lvl>
    <w:lvl w:ilvl="1">
      <w:lvlJc w:val="left"/>
      <w:lvlText w:val="(%2)"/>
      <w:numFmt w:val="upperLetter"/>
      <w:start w:val="4"/>
    </w:lvl>
    <w:lvl w:ilvl="2">
      <w:lvlJc w:val="left"/>
      <w:lvlText w:val="-"/>
      <w:numFmt w:val="bullet"/>
      <w:start w:val="1"/>
    </w:lvl>
  </w:abstractNum>
  <w:abstractNum w:abstractNumId="64">
    <w:nsid w:val="46263DEC"/>
    <w:multiLevelType w:val="hybridMultilevel"/>
    <w:lvl w:ilvl="0">
      <w:lvlJc w:val="left"/>
      <w:lvlText w:val="(%1)"/>
      <w:numFmt w:val="upperLetter"/>
      <w:start w:val="7"/>
    </w:lvl>
  </w:abstractNum>
  <w:abstractNum w:abstractNumId="65">
    <w:nsid w:val="260D8C4A"/>
    <w:multiLevelType w:val="hybridMultilevel"/>
    <w:lvl w:ilvl="0">
      <w:lvlJc w:val="left"/>
      <w:lvlText w:val="(%1)"/>
      <w:numFmt w:val="lowerRoman"/>
      <w:start w:val="1"/>
    </w:lvl>
  </w:abstractNum>
  <w:abstractNum w:abstractNumId="66">
    <w:nsid w:val="73D4D3C4"/>
    <w:multiLevelType w:val="hybridMultilevel"/>
    <w:lvl w:ilvl="0">
      <w:lvlJc w:val="left"/>
      <w:lvlText w:val="(%1)"/>
      <w:numFmt w:val="upperLetter"/>
      <w:start w:val="8"/>
    </w:lvl>
    <w:lvl w:ilvl="1">
      <w:lvlJc w:val="left"/>
      <w:lvlText w:val="(%2)"/>
      <w:numFmt w:val="lowerRoman"/>
      <w:start w:val="1"/>
    </w:lvl>
    <w:lvl w:ilvl="2">
      <w:lvlJc w:val="left"/>
      <w:lvlText w:val="-"/>
      <w:numFmt w:val="bullet"/>
      <w:start w:val="1"/>
    </w:lvl>
  </w:abstractNum>
  <w:abstractNum w:abstractNumId="67">
    <w:nsid w:val="746F2E30"/>
    <w:multiLevelType w:val="hybridMultilevel"/>
    <w:lvl w:ilvl="0">
      <w:lvlJc w:val="left"/>
      <w:lvlText w:val="%1"/>
      <w:numFmt w:val="upperLetter"/>
      <w:start w:val="1"/>
    </w:lvl>
    <w:lvl w:ilvl="1">
      <w:lvlJc w:val="left"/>
      <w:lvlText w:val="(%2)"/>
      <w:numFmt w:val="lowerRoman"/>
      <w:start w:val="2"/>
    </w:lvl>
  </w:abstractNum>
  <w:abstractNum w:abstractNumId="68">
    <w:nsid w:val="6FDE8AF6"/>
    <w:multiLevelType w:val="hybridMultilevel"/>
    <w:lvl w:ilvl="0">
      <w:lvlJc w:val="left"/>
      <w:lvlText w:val="(%1)"/>
      <w:numFmt w:val="upperLetter"/>
      <w:start w:val="9"/>
    </w:lvl>
    <w:lvl w:ilvl="1">
      <w:lvlJc w:val="left"/>
      <w:lvlText w:val="%2"/>
      <w:numFmt w:val="lowerRoman"/>
      <w:start w:val="1"/>
    </w:lvl>
  </w:abstractNum>
  <w:abstractNum w:abstractNumId="69">
    <w:nsid w:val="3FC32E20"/>
    <w:multiLevelType w:val="hybridMultilevel"/>
    <w:lvl w:ilvl="0">
      <w:lvlJc w:val="left"/>
      <w:lvlText w:val="(%1)"/>
      <w:numFmt w:val="upperLetter"/>
      <w:start w:val="1"/>
    </w:lvl>
    <w:lvl w:ilvl="1">
      <w:lvlJc w:val="left"/>
      <w:lvlText w:val="-"/>
      <w:numFmt w:val="bullet"/>
      <w:start w:val="1"/>
    </w:lvl>
  </w:abstractNum>
  <w:abstractNum w:abstractNumId="70">
    <w:nsid w:val="49C0E823"/>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9"/>
    </w:lvl>
    <w:lvl w:ilvl="3">
      <w:lvlJc w:val="left"/>
      <w:lvlText w:val="(%4)"/>
      <w:numFmt w:val="decimal"/>
      <w:start w:val="1"/>
    </w:lvl>
  </w:abstractNum>
  <w:abstractNum w:abstractNumId="71">
    <w:nsid w:val="14D53685"/>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72">
    <w:nsid w:val="230F856C"/>
    <w:multiLevelType w:val="hybridMultilevel"/>
    <w:lvl w:ilvl="0">
      <w:lvlJc w:val="left"/>
      <w:lvlText w:val="(%1)"/>
      <w:numFmt w:val="upperLetter"/>
      <w:start w:val="35"/>
    </w:lvl>
  </w:abstractNum>
  <w:abstractNum w:abstractNumId="73">
    <w:nsid w:val="6EAA85FB"/>
    <w:multiLevelType w:val="hybridMultilevel"/>
    <w:lvl w:ilvl="0">
      <w:lvlJc w:val="left"/>
      <w:lvlText w:val="(%1)"/>
      <w:numFmt w:val="lowerLetter"/>
      <w:start w:val="2"/>
    </w:lvl>
    <w:lvl w:ilvl="1">
      <w:lvlJc w:val="left"/>
      <w:lvlText w:val="-"/>
      <w:numFmt w:val="bullet"/>
      <w:start w:val="1"/>
    </w:lvl>
  </w:abstractNum>
  <w:abstractNum w:abstractNumId="74">
    <w:nsid w:val="3F06ECB2"/>
    <w:multiLevelType w:val="hybridMultilevel"/>
    <w:lvl w:ilvl="0">
      <w:lvlJc w:val="left"/>
      <w:lvlText w:val="(%1)"/>
      <w:numFmt w:val="decimal"/>
      <w:start w:val="4"/>
    </w:lvl>
  </w:abstractNum>
  <w:abstractNum w:abstractNumId="75">
    <w:nsid w:val="3B594807"/>
    <w:multiLevelType w:val="hybridMultilevel"/>
    <w:lvl w:ilvl="0">
      <w:lvlJc w:val="left"/>
      <w:lvlText w:val="(%1)"/>
      <w:numFmt w:val="lowerRoman"/>
      <w:start w:val="2"/>
    </w:lvl>
    <w:lvl w:ilvl="1">
      <w:lvlJc w:val="left"/>
      <w:lvlText w:val="(%2)"/>
      <w:numFmt w:val="decimal"/>
      <w:start w:val="1"/>
    </w:lvl>
  </w:abstractNum>
  <w:abstractNum w:abstractNumId="76">
    <w:nsid w:val="6CAA230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77">
    <w:nsid w:val="3F7C2FF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lvl w:ilvl="3">
      <w:lvlJc w:val="left"/>
      <w:lvlText w:val="-"/>
      <w:numFmt w:val="bullet"/>
      <w:start w:val="1"/>
    </w:lvl>
  </w:abstractNum>
  <w:abstractNum w:abstractNumId="78">
    <w:nsid w:val="25413BEC"/>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
      <w:numFmt w:val="bullet"/>
      <w:start w:val="1"/>
    </w:lvl>
  </w:abstractNum>
  <w:abstractNum w:abstractNumId="79">
    <w:nsid w:val="17180B0B"/>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lvl w:ilvl="3">
      <w:lvlJc w:val="left"/>
      <w:lvlText w:val="-"/>
      <w:numFmt w:val="bullet"/>
      <w:start w:val="1"/>
    </w:lvl>
  </w:abstractNum>
  <w:abstractNum w:abstractNumId="80">
    <w:nsid w:val="579328B9"/>
    <w:multiLevelType w:val="hybridMultilevel"/>
    <w:lvl w:ilvl="0">
      <w:lvlJc w:val="left"/>
      <w:lvlText w:val="(%1)"/>
      <w:numFmt w:val="lowerLetter"/>
      <w:start w:val="23"/>
    </w:lvl>
    <w:lvl w:ilvl="1">
      <w:lvlJc w:val="left"/>
      <w:lvlText w:val="%2"/>
      <w:numFmt w:val="upperLetter"/>
      <w:start w:val="1"/>
    </w:lvl>
    <w:lvl w:ilvl="2">
      <w:lvlJc w:val="left"/>
      <w:lvlText w:val="%3"/>
      <w:numFmt w:val="lowerLetter"/>
      <w:start w:val="1"/>
    </w:lvl>
    <w:lvl w:ilvl="3">
      <w:lvlJc w:val="left"/>
      <w:lvlText w:val="-"/>
      <w:numFmt w:val="bullet"/>
      <w:start w:val="1"/>
    </w:lvl>
  </w:abstractNum>
  <w:abstractNum w:abstractNumId="81">
    <w:nsid w:val="5D205E20"/>
    <w:multiLevelType w:val="hybridMultilevel"/>
    <w:lvl w:ilvl="0">
      <w:lvlJc w:val="left"/>
      <w:lvlText w:val="(%1)"/>
      <w:numFmt w:val="upperLetter"/>
      <w:start w:val="5"/>
    </w:lvl>
  </w:abstractNum>
  <w:abstractNum w:abstractNumId="82">
    <w:nsid w:val="11CCA8B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3">
    <w:nsid w:val="4D32AB86"/>
    <w:multiLevelType w:val="hybridMultilevel"/>
    <w:lvl w:ilvl="0">
      <w:lvlJc w:val="left"/>
      <w:lvlText w:val="(%1)"/>
      <w:numFmt w:val="decimal"/>
      <w:start w:val="2"/>
    </w:lvl>
  </w:abstractNum>
  <w:abstractNum w:abstractNumId="84">
    <w:nsid w:val="3F07ACC3"/>
    <w:multiLevelType w:val="hybridMultilevel"/>
    <w:lvl w:ilvl="0">
      <w:lvlJc w:val="left"/>
      <w:lvlText w:val="%1"/>
      <w:numFmt w:val="decimal"/>
      <w:start w:val="1"/>
    </w:lvl>
    <w:lvl w:ilvl="1">
      <w:lvlJc w:val="left"/>
      <w:lvlText w:val="(%2)"/>
      <w:numFmt w:val="lowerRoman"/>
      <w:start w:val="2"/>
    </w:lvl>
  </w:abstractNum>
  <w:abstractNum w:abstractNumId="85">
    <w:nsid w:val="6B47F63E"/>
    <w:multiLevelType w:val="hybridMultilevel"/>
    <w:lvl w:ilvl="0">
      <w:lvlJc w:val="left"/>
      <w:lvlText w:val="(%1)"/>
      <w:numFmt w:val="decimal"/>
      <w:start w:val="2"/>
    </w:lvl>
    <w:lvl w:ilvl="1">
      <w:lvlJc w:val="left"/>
      <w:lvlText w:val="(%2)"/>
      <w:numFmt w:val="lowerRoman"/>
      <w:start w:val="3"/>
    </w:lvl>
  </w:abstractNum>
  <w:abstractNum w:abstractNumId="86">
    <w:nsid w:val="5CB44A0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7">
    <w:nsid w:val="16CF80F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88">
    <w:nsid w:val="1C695DEC"/>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89">
    <w:nsid w:val="3FCFAED9"/>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90">
    <w:nsid w:val="F856867"/>
    <w:multiLevelType w:val="hybridMultilevel"/>
    <w:lvl w:ilvl="0">
      <w:lvlJc w:val="left"/>
      <w:lvlText w:val="(%1)"/>
      <w:numFmt w:val="upperLetter"/>
      <w:start w:val="4"/>
    </w:lvl>
  </w:abstractNum>
  <w:abstractNum w:abstractNumId="91">
    <w:nsid w:val="11B1CC33"/>
    <w:multiLevelType w:val="hybridMultilevel"/>
    <w:lvl w:ilvl="0">
      <w:lvlJc w:val="left"/>
      <w:lvlText w:val="(%1)"/>
      <w:numFmt w:val="upperLetter"/>
      <w:start w:val="1"/>
    </w:lvl>
    <w:lvl w:ilvl="1">
      <w:lvlJc w:val="left"/>
      <w:lvlText w:val="-"/>
      <w:numFmt w:val="bullet"/>
      <w:start w:val="1"/>
    </w:lvl>
  </w:abstractNum>
  <w:abstractNum w:abstractNumId="92">
    <w:nsid w:val="2E22FBB7"/>
    <w:multiLevelType w:val="hybridMultilevel"/>
    <w:lvl w:ilvl="0">
      <w:lvlJc w:val="left"/>
      <w:lvlText w:val="(%1)"/>
      <w:numFmt w:val="upperLetter"/>
      <w:start w:val="1"/>
    </w:lvl>
    <w:lvl w:ilvl="1">
      <w:lvlJc w:val="left"/>
      <w:lvlText w:val="(%2)"/>
      <w:numFmt w:val="lowerRoman"/>
      <w:start w:val="1"/>
    </w:lvl>
  </w:abstractNum>
  <w:abstractNum w:abstractNumId="93">
    <w:nsid w:val="29934699"/>
    <w:multiLevelType w:val="hybridMultilevel"/>
    <w:lvl w:ilvl="0">
      <w:lvlJc w:val="left"/>
      <w:lvlText w:val="(%1)"/>
      <w:numFmt w:val="lowerRoman"/>
      <w:start w:val="2"/>
    </w:lvl>
    <w:lvl w:ilvl="1">
      <w:lvlJc w:val="left"/>
      <w:lvlText w:val="-"/>
      <w:numFmt w:val="bullet"/>
      <w:start w:val="1"/>
    </w:lvl>
  </w:abstractNum>
  <w:abstractNum w:abstractNumId="94">
    <w:nsid w:val="77485850"/>
    <w:multiLevelType w:val="hybridMultilevel"/>
    <w:lvl w:ilvl="0">
      <w:lvlJc w:val="left"/>
      <w:lvlText w:val="X"/>
      <w:numFmt w:val="bullet"/>
      <w:start w:val="1"/>
    </w:lvl>
  </w:abstractNum>
  <w:abstractNum w:abstractNumId="95">
    <w:nsid w:val="744939A3"/>
    <w:multiLevelType w:val="hybridMultilevel"/>
    <w:lvl w:ilvl="0">
      <w:lvlJc w:val="left"/>
      <w:lvlText w:val="Y"/>
      <w:numFmt w:val="bullet"/>
      <w:start w:val="1"/>
    </w:lvl>
  </w:abstractNum>
  <w:abstractNum w:abstractNumId="96">
    <w:nsid w:val="4FA0D2E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97">
    <w:nsid w:val="6B1D2C14"/>
    <w:multiLevelType w:val="hybridMultilevel"/>
    <w:lvl w:ilvl="0">
      <w:lvlJc w:val="left"/>
      <w:lvlText w:val="%1"/>
      <w:numFmt w:val="lowerLetter"/>
      <w:start w:val="1"/>
    </w:lvl>
    <w:lvl w:ilvl="1">
      <w:lvlJc w:val="left"/>
      <w:lvlText w:val="(%2)"/>
      <w:numFmt w:val="lowerLetter"/>
      <w:start w:val="24"/>
    </w:lvl>
  </w:abstractNum>
  <w:abstractNum w:abstractNumId="98">
    <w:nsid w:val="68B867D3"/>
    <w:multiLevelType w:val="hybridMultilevel"/>
    <w:lvl w:ilvl="0">
      <w:lvlJc w:val="left"/>
      <w:lvlText w:val="(%1)"/>
      <w:numFmt w:val="lowerLetter"/>
      <w:start w:val="22"/>
    </w:lvl>
    <w:lvl w:ilvl="1">
      <w:lvlJc w:val="left"/>
      <w:lvlText w:val="(%2)"/>
      <w:numFmt w:val="lowerLetter"/>
      <w:start w:val="26"/>
    </w:lvl>
  </w:abstractNum>
  <w:abstractNum w:abstractNumId="99">
    <w:nsid w:val="3F7F5DD9"/>
    <w:multiLevelType w:val="hybridMultilevel"/>
    <w:lvl w:ilvl="0">
      <w:lvlJc w:val="left"/>
      <w:lvlText w:val="(%1)"/>
      <w:numFmt w:val="decimal"/>
      <w:start w:val="2"/>
    </w:lvl>
  </w:abstractNum>
  <w:abstractNum w:abstractNumId="100">
    <w:nsid w:val="2AE05A34"/>
    <w:multiLevelType w:val="hybridMultilevel"/>
    <w:lvl w:ilvl="0">
      <w:lvlJc w:val="left"/>
      <w:lvlText w:val="(%1)"/>
      <w:numFmt w:val="lowerRoman"/>
      <w:start w:val="4"/>
    </w:lvl>
  </w:abstractNum>
  <w:abstractNum w:abstractNumId="101">
    <w:nsid w:val="32794FF7"/>
    <w:multiLevelType w:val="hybridMultilevel"/>
    <w:lvl w:ilvl="0">
      <w:lvlJc w:val="left"/>
      <w:lvlText w:val="D"/>
      <w:numFmt w:val="bullet"/>
      <w:start w:val="1"/>
    </w:lvl>
  </w:abstractNum>
  <w:abstractNum w:abstractNumId="102">
    <w:nsid w:val="5454945E"/>
    <w:multiLevelType w:val="hybridMultilevel"/>
    <w:lvl w:ilvl="0">
      <w:lvlJc w:val="left"/>
      <w:lvlText w:val="(%1)"/>
      <w:numFmt w:val="lowerRoman"/>
      <w:start w:val="5"/>
    </w:lvl>
  </w:abstractNum>
  <w:abstractNum w:abstractNumId="103">
    <w:nsid w:val="4DEFDFA0"/>
    <w:multiLevelType w:val="hybridMultilevel"/>
    <w:lvl w:ilvl="0">
      <w:lvlJc w:val="left"/>
      <w:lvlText w:val="(%1)"/>
      <w:numFmt w:val="upperLetter"/>
      <w:start w:val="2"/>
    </w:lvl>
  </w:abstractNum>
  <w:abstractNum w:abstractNumId="104">
    <w:nsid w:val="2123D5F2"/>
    <w:multiLevelType w:val="hybridMultilevel"/>
    <w:lvl w:ilvl="0">
      <w:lvlJc w:val="left"/>
      <w:lvlText w:val="(%1)"/>
      <w:numFmt w:val="lowerRoman"/>
      <w:start w:val="1"/>
    </w:lvl>
  </w:abstractNum>
  <w:abstractNum w:abstractNumId="105">
    <w:nsid w:val="135B8110"/>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lvl w:ilvl="3">
      <w:lvlJc w:val="left"/>
      <w:lvlText w:val="(%4)"/>
      <w:numFmt w:val="decimal"/>
      <w:start w:val="1"/>
    </w:lvl>
    <w:lvl w:ilvl="4">
      <w:lvlJc w:val="left"/>
      <w:lvlText w:val="-"/>
      <w:numFmt w:val="bullet"/>
      <w:start w:val="1"/>
    </w:lvl>
  </w:abstractNum>
  <w:abstractNum w:abstractNumId="106">
    <w:nsid w:val="94927A8"/>
    <w:multiLevelType w:val="hybridMultilevel"/>
    <w:lvl w:ilvl="0">
      <w:lvlJc w:val="left"/>
      <w:lvlText w:val="%1"/>
      <w:numFmt w:val="lowerRoman"/>
      <w:start w:val="1"/>
    </w:lvl>
    <w:lvl w:ilvl="1">
      <w:lvlJc w:val="left"/>
      <w:lvlText w:val="(%2)"/>
      <w:numFmt w:val="upperLetter"/>
      <w:start w:val="3"/>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07">
    <w:nsid w:val="DCDF8F6"/>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08">
    <w:nsid w:val="52D7B105"/>
    <w:multiLevelType w:val="hybridMultilevel"/>
    <w:lvl w:ilvl="0">
      <w:lvlJc w:val="left"/>
      <w:lvlText w:val="(%1)"/>
      <w:numFmt w:val="upperLetter"/>
      <w:start w:val="4"/>
    </w:lvl>
    <w:lvl w:ilvl="1">
      <w:lvlJc w:val="left"/>
      <w:lvlText w:val="(%2)"/>
      <w:numFmt w:val="lowerRoman"/>
      <w:start w:val="1"/>
    </w:lvl>
  </w:abstractNum>
  <w:abstractNum w:abstractNumId="109">
    <w:nsid w:val="2E8A6394"/>
    <w:multiLevelType w:val="hybridMultilevel"/>
    <w:lvl w:ilvl="0">
      <w:lvlJc w:val="left"/>
      <w:lvlText w:val="(%1)"/>
      <w:numFmt w:val="upperLetter"/>
      <w:start w:val="5"/>
    </w:lvl>
    <w:lvl w:ilvl="1">
      <w:lvlJc w:val="left"/>
      <w:lvlText w:val="(%2)"/>
      <w:numFmt w:val="lowerRoman"/>
      <w:start w:val="1"/>
    </w:lvl>
    <w:lvl w:ilvl="2">
      <w:lvlJc w:val="left"/>
      <w:lvlText w:val="-"/>
      <w:numFmt w:val="bullet"/>
      <w:start w:val="1"/>
    </w:lvl>
  </w:abstractNum>
  <w:abstractNum w:abstractNumId="110">
    <w:nsid w:val="24E60401"/>
    <w:multiLevelType w:val="hybridMultilevel"/>
    <w:lvl w:ilvl="0">
      <w:lvlJc w:val="left"/>
      <w:lvlText w:val="%1"/>
      <w:numFmt w:val="lowerRoman"/>
      <w:start w:val="1"/>
    </w:lvl>
    <w:lvl w:ilvl="1">
      <w:lvlJc w:val="left"/>
      <w:lvlText w:val="(%2)"/>
      <w:numFmt w:val="upperLetter"/>
      <w:start w:val="6"/>
    </w:lvl>
    <w:lvl w:ilvl="2">
      <w:lvlJc w:val="left"/>
      <w:lvlText w:val="-"/>
      <w:numFmt w:val="bullet"/>
      <w:start w:val="1"/>
    </w:lvl>
  </w:abstractNum>
  <w:abstractNum w:abstractNumId="111">
    <w:nsid w:val="2A6AD9BE"/>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12">
    <w:nsid w:val="BAAC1B4"/>
    <w:multiLevelType w:val="hybridMultilevel"/>
    <w:lvl w:ilvl="0">
      <w:lvlJc w:val="left"/>
      <w:lvlText w:val="(%1)"/>
      <w:numFmt w:val="upperLetter"/>
      <w:start w:val="10"/>
    </w:lvl>
  </w:abstractNum>
  <w:abstractNum w:abstractNumId="113">
    <w:nsid w:val="36B2ACBC"/>
    <w:multiLevelType w:val="hybridMultilevel"/>
    <w:lvl w:ilvl="0">
      <w:lvlJc w:val="left"/>
      <w:lvlText w:val="(%1)"/>
      <w:numFmt w:val="upperLetter"/>
      <w:start w:val="1"/>
    </w:lvl>
  </w:abstractNum>
  <w:abstractNum w:abstractNumId="114">
    <w:nsid w:val="779D8544"/>
    <w:multiLevelType w:val="hybridMultilevel"/>
    <w:lvl w:ilvl="0">
      <w:lvlJc w:val="left"/>
      <w:lvlText w:val="(%1)"/>
      <w:numFmt w:val="upperLetter"/>
      <w:start w:val="1"/>
    </w:lvl>
    <w:lvl w:ilvl="1">
      <w:lvlJc w:val="left"/>
      <w:lvlText w:val="-"/>
      <w:numFmt w:val="bullet"/>
      <w:start w:val="1"/>
    </w:lvl>
  </w:abstractNum>
  <w:abstractNum w:abstractNumId="115">
    <w:nsid w:val="4AB26E78"/>
    <w:multiLevelType w:val="hybridMultilevel"/>
    <w:lvl w:ilvl="0">
      <w:lvlJc w:val="left"/>
      <w:lvlText w:val="(%1)"/>
      <w:numFmt w:val="lowerRoman"/>
      <w:start w:val="1"/>
    </w:lvl>
  </w:abstractNum>
  <w:abstractNum w:abstractNumId="116">
    <w:nsid w:val="21FAA2FA"/>
    <w:multiLevelType w:val="hybridMultilevel"/>
    <w:lvl w:ilvl="0">
      <w:lvlJc w:val="left"/>
      <w:lvlText w:val="(%1)"/>
      <w:numFmt w:val="upperLetter"/>
      <w:start w:val="2"/>
    </w:lvl>
    <w:lvl w:ilvl="1">
      <w:lvlJc w:val="left"/>
      <w:lvlText w:val="-"/>
      <w:numFmt w:val="bullet"/>
      <w:start w:val="1"/>
    </w:lvl>
  </w:abstractNum>
  <w:abstractNum w:abstractNumId="117">
    <w:nsid w:val="5451CF49"/>
    <w:multiLevelType w:val="hybridMultilevel"/>
    <w:lvl w:ilvl="0">
      <w:lvlJc w:val="left"/>
      <w:lvlText w:val="(%1)"/>
      <w:numFmt w:val="upperLetter"/>
      <w:start w:val="1"/>
    </w:lvl>
  </w:abstractNum>
  <w:abstractNum w:abstractNumId="118">
    <w:nsid w:val="6181EF6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9">
    <w:nsid w:val="3E6400E6"/>
    <w:multiLevelType w:val="hybridMultilevel"/>
    <w:lvl w:ilvl="0">
      <w:lvlJc w:val="left"/>
      <w:lvlText w:val="(%1)"/>
      <w:numFmt w:val="decimal"/>
      <w:start w:val="1"/>
    </w:lvl>
    <w:lvl w:ilvl="1">
      <w:lvlJc w:val="left"/>
      <w:lvlText w:val="-"/>
      <w:numFmt w:val="bullet"/>
      <w:start w:val="1"/>
    </w:lvl>
  </w:abstractNum>
  <w:abstractNum w:abstractNumId="120">
    <w:nsid w:val="14217E23"/>
    <w:multiLevelType w:val="hybridMultilevel"/>
    <w:lvl w:ilvl="0">
      <w:lvlJc w:val="left"/>
      <w:lvlText w:val="(%1)"/>
      <w:numFmt w:val="upperLetter"/>
      <w:start w:val="2"/>
    </w:lvl>
  </w:abstractNum>
  <w:abstractNum w:abstractNumId="121">
    <w:nsid w:val="710757D0"/>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22">
    <w:nsid w:val="5015CD1A"/>
    <w:multiLevelType w:val="hybridMultilevel"/>
    <w:lvl w:ilvl="0">
      <w:lvlJc w:val="left"/>
      <w:lvlText w:val="%1"/>
      <w:numFmt w:val="upperLetter"/>
      <w:start w:val="1"/>
    </w:lvl>
    <w:lvl w:ilvl="1">
      <w:lvlJc w:val="left"/>
      <w:lvlText w:val="(%2)"/>
      <w:numFmt w:val="lowerRoman"/>
      <w:start w:val="2"/>
    </w:lvl>
  </w:abstractNum>
  <w:abstractNum w:abstractNumId="123">
    <w:nsid w:val="424479DA"/>
    <w:multiLevelType w:val="hybridMultilevel"/>
    <w:lvl w:ilvl="0">
      <w:lvlJc w:val="left"/>
      <w:lvlText w:val="(%1)"/>
      <w:numFmt w:val="upperLetter"/>
      <w:start w:val="2"/>
    </w:lvl>
    <w:lvl w:ilvl="1">
      <w:lvlJc w:val="left"/>
      <w:lvlText w:val="%2"/>
      <w:numFmt w:val="lowerRoman"/>
      <w:start w:val="1"/>
    </w:lvl>
  </w:abstractNum>
  <w:abstractNum w:abstractNumId="124">
    <w:nsid w:val="1A9A9E69"/>
    <w:multiLevelType w:val="hybridMultilevel"/>
    <w:lvl w:ilvl="0">
      <w:lvlJc w:val="left"/>
      <w:lvlText w:val="(%1)"/>
      <w:numFmt w:val="upperLetter"/>
      <w:start w:val="1"/>
    </w:lvl>
    <w:lvl w:ilvl="1">
      <w:lvlJc w:val="left"/>
      <w:lvlText w:val="(%2)"/>
      <w:numFmt w:val="lowerRoman"/>
      <w:start w:val="1"/>
    </w:lvl>
  </w:abstractNum>
  <w:abstractNum w:abstractNumId="125">
    <w:nsid w:val="475E256A"/>
    <w:multiLevelType w:val="hybridMultilevel"/>
    <w:lvl w:ilvl="0">
      <w:lvlJc w:val="left"/>
      <w:lvlText w:val="(%1)"/>
      <w:numFmt w:val="decimal"/>
      <w:start w:val="5"/>
    </w:lvl>
    <w:lvl w:ilvl="1">
      <w:lvlJc w:val="left"/>
      <w:lvlText w:val="(%2)"/>
      <w:numFmt w:val="lowerRoman"/>
      <w:start w:val="4"/>
    </w:lvl>
    <w:lvl w:ilvl="2">
      <w:lvlJc w:val="left"/>
      <w:lvlText w:val="-"/>
      <w:numFmt w:val="bullet"/>
      <w:start w:val="1"/>
    </w:lvl>
  </w:abstractNum>
  <w:abstractNum w:abstractNumId="126">
    <w:nsid w:val="368DB37E"/>
    <w:multiLevelType w:val="hybridMultilevel"/>
    <w:lvl w:ilvl="0">
      <w:lvlJc w:val="left"/>
      <w:lvlText w:val="(%1)"/>
      <w:numFmt w:val="lowerRoman"/>
      <w:start w:val="5"/>
    </w:lvl>
    <w:lvl w:ilvl="1">
      <w:lvlJc w:val="left"/>
      <w:lvlText w:val="(%2)"/>
      <w:numFmt w:val="decimal"/>
      <w:start w:val="1"/>
    </w:lvl>
  </w:abstractNum>
  <w:abstractNum w:abstractNumId="127">
    <w:nsid w:val="6A3B714C"/>
    <w:multiLevelType w:val="hybridMultilevel"/>
    <w:lvl w:ilvl="0">
      <w:lvlJc w:val="left"/>
      <w:lvlText w:val="(%1)"/>
      <w:numFmt w:val="lowerRoman"/>
      <w:start w:val="8"/>
    </w:lvl>
    <w:lvl w:ilvl="1">
      <w:lvlJc w:val="left"/>
      <w:lvlText w:val="(%2)"/>
      <w:numFmt w:val="decimal"/>
      <w:start w:val="1"/>
    </w:lvl>
    <w:lvl w:ilvl="2">
      <w:lvlJc w:val="left"/>
      <w:lvlText w:val="-"/>
      <w:numFmt w:val="bullet"/>
      <w:start w:val="1"/>
    </w:lvl>
  </w:abstractNum>
  <w:abstractNum w:abstractNumId="128">
    <w:nsid w:val="327B517E"/>
    <w:multiLevelType w:val="hybridMultilevel"/>
    <w:lvl w:ilvl="0">
      <w:lvlJc w:val="left"/>
      <w:lvlText w:val="(%1)"/>
      <w:numFmt w:val="decimal"/>
      <w:start w:val="1"/>
    </w:lvl>
  </w:abstractNum>
  <w:abstractNum w:abstractNumId="129">
    <w:nsid w:val="1F461B51"/>
    <w:multiLevelType w:val="hybridMultilevel"/>
    <w:lvl w:ilvl="0">
      <w:lvlJc w:val="left"/>
      <w:lvlText w:val="(%1)"/>
      <w:numFmt w:val="upperLetter"/>
      <w:start w:val="2"/>
    </w:lvl>
  </w:abstractNum>
  <w:abstractNum w:abstractNumId="130">
    <w:nsid w:val="29BACF25"/>
    <w:multiLevelType w:val="hybridMultilevel"/>
    <w:lvl w:ilvl="0">
      <w:lvlJc w:val="left"/>
      <w:lvlText w:val="(%1)"/>
      <w:numFmt w:val="upperLetter"/>
      <w:start w:val="1"/>
    </w:lvl>
  </w:abstractNum>
  <w:abstractNum w:abstractNumId="131">
    <w:nsid w:val="5D5BABB3"/>
    <w:multiLevelType w:val="hybridMultilevel"/>
    <w:lvl w:ilvl="0">
      <w:lvlJc w:val="left"/>
      <w:lvlText w:val="(%1)"/>
      <w:numFmt w:val="upperLetter"/>
      <w:start w:val="3"/>
    </w:lvl>
    <w:lvl w:ilvl="1">
      <w:lvlJc w:val="left"/>
      <w:lvlText w:val="-"/>
      <w:numFmt w:val="bullet"/>
      <w:start w:val="1"/>
    </w:lvl>
  </w:abstractNum>
  <w:abstractNum w:abstractNumId="132">
    <w:nsid w:val="51BF6B48"/>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33">
    <w:nsid w:val="7E0F6384"/>
    <w:multiLevelType w:val="hybridMultilevel"/>
    <w:lvl w:ilvl="0">
      <w:lvlJc w:val="left"/>
      <w:lvlText w:val="(%1)"/>
      <w:numFmt w:val="lowerRoman"/>
      <w:start w:val="2"/>
    </w:lvl>
    <w:lvl w:ilvl="1">
      <w:lvlJc w:val="left"/>
      <w:lvlText w:val="(%2)"/>
      <w:numFmt w:val="upperLetter"/>
      <w:start w:val="2"/>
    </w:lvl>
    <w:lvl w:ilvl="2">
      <w:lvlJc w:val="left"/>
      <w:lvlText w:val="-"/>
      <w:numFmt w:val="bullet"/>
      <w:start w:val="1"/>
    </w:lvl>
  </w:abstractNum>
  <w:abstractNum w:abstractNumId="134">
    <w:nsid w:val="2B4B8B53"/>
    <w:multiLevelType w:val="hybridMultilevel"/>
    <w:lvl w:ilvl="0">
      <w:lvlJc w:val="left"/>
      <w:lvlText w:val="(%1)"/>
      <w:numFmt w:val="upperLetter"/>
      <w:start w:val="5"/>
    </w:lvl>
  </w:abstractNum>
  <w:abstractNum w:abstractNumId="135">
    <w:nsid w:val="72E3413A"/>
    <w:multiLevelType w:val="hybridMultilevel"/>
    <w:lvl w:ilvl="0">
      <w:lvlJc w:val="left"/>
      <w:lvlText w:val="(%1)"/>
      <w:numFmt w:val="upperLetter"/>
      <w:start w:val="1"/>
    </w:lvl>
  </w:abstractNum>
  <w:abstractNum w:abstractNumId="136">
    <w:nsid w:val="116AE494"/>
    <w:multiLevelType w:val="hybridMultilevel"/>
    <w:lvl w:ilvl="0">
      <w:lvlJc w:val="left"/>
      <w:lvlText w:val="(%1)"/>
      <w:numFmt w:val="upperLetter"/>
      <w:start w:val="1"/>
    </w:lvl>
  </w:abstractNum>
  <w:abstractNum w:abstractNumId="137">
    <w:nsid w:val="3494B2FB"/>
    <w:multiLevelType w:val="hybridMultilevel"/>
    <w:lvl w:ilvl="0">
      <w:lvlJc w:val="left"/>
      <w:lvlText w:val="(%1)"/>
      <w:numFmt w:val="upperLetter"/>
      <w:start w:val="1"/>
    </w:lvl>
    <w:lvl w:ilvl="1">
      <w:lvlJc w:val="left"/>
      <w:lvlText w:val="-"/>
      <w:numFmt w:val="bullet"/>
      <w:start w:val="1"/>
    </w:lvl>
  </w:abstractNum>
  <w:abstractNum w:abstractNumId="138">
    <w:nsid w:val="B13A31"/>
    <w:multiLevelType w:val="hybridMultilevel"/>
    <w:lvl w:ilvl="0">
      <w:lvlJc w:val="left"/>
      <w:lvlText w:val="(%1)"/>
      <w:numFmt w:val="upperLetter"/>
      <w:start w:val="7"/>
    </w:lvl>
  </w:abstractNum>
  <w:abstractNum w:abstractNumId="139">
    <w:nsid w:val="6442959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40">
    <w:nsid w:val="631F1690"/>
    <w:multiLevelType w:val="hybridMultilevel"/>
    <w:lvl w:ilvl="0">
      <w:lvlJc w:val="left"/>
      <w:lvlText w:val="%1"/>
      <w:numFmt w:val="upperLetter"/>
      <w:start w:val="1"/>
    </w:lvl>
    <w:lvl w:ilvl="1">
      <w:lvlJc w:val="left"/>
      <w:lvlText w:val="(%2)"/>
      <w:numFmt w:val="lowerRoman"/>
      <w:start w:val="6"/>
    </w:lvl>
  </w:abstractNum>
  <w:abstractNum w:abstractNumId="141">
    <w:nsid w:val="25973E32"/>
    <w:multiLevelType w:val="hybridMultilevel"/>
    <w:lvl w:ilvl="0">
      <w:lvlJc w:val="left"/>
      <w:lvlText w:val="(%1)"/>
      <w:numFmt w:val="upperLetter"/>
      <w:start w:val="2"/>
    </w:lvl>
    <w:lvl w:ilvl="1">
      <w:lvlJc w:val="left"/>
      <w:lvlText w:val="%2"/>
      <w:numFmt w:val="lowerRoman"/>
      <w:start w:val="1"/>
    </w:lvl>
  </w:abstractNum>
  <w:abstractNum w:abstractNumId="142">
    <w:nsid w:val="EAD6F57"/>
    <w:multiLevelType w:val="hybridMultilevel"/>
    <w:lvl w:ilvl="0">
      <w:lvlJc w:val="left"/>
      <w:lvlText w:val="(%1)"/>
      <w:numFmt w:val="upperLetter"/>
      <w:start w:val="2"/>
    </w:lvl>
  </w:abstractNum>
  <w:abstractNum w:abstractNumId="143">
    <w:nsid w:val="6EC9D844"/>
    <w:multiLevelType w:val="hybridMultilevel"/>
    <w:lvl w:ilvl="0">
      <w:lvlJc w:val="left"/>
      <w:lvlText w:val="(%1)"/>
      <w:numFmt w:val="upperLetter"/>
      <w:start w:val="1"/>
    </w:lvl>
    <w:lvl w:ilvl="1">
      <w:lvlJc w:val="left"/>
      <w:lvlText w:val="-"/>
      <w:numFmt w:val="bullet"/>
      <w:start w:val="1"/>
    </w:lvl>
  </w:abstractNum>
  <w:abstractNum w:abstractNumId="144">
    <w:nsid w:val="5C49EAEE"/>
    <w:multiLevelType w:val="hybridMultilevel"/>
    <w:lvl w:ilvl="0">
      <w:lvlJc w:val="left"/>
      <w:lvlText w:val="(%1)"/>
      <w:numFmt w:val="upperLetter"/>
      <w:start w:val="3"/>
    </w:lvl>
  </w:abstractNum>
  <w:abstractNum w:abstractNumId="145">
    <w:nsid w:val="64AF49B"/>
    <w:multiLevelType w:val="hybridMultilevel"/>
    <w:lvl w:ilvl="0">
      <w:lvlJc w:val="left"/>
      <w:lvlText w:val="(%1)"/>
      <w:numFmt w:val="upperLetter"/>
      <w:start w:val="2"/>
    </w:lvl>
  </w:abstractNum>
  <w:abstractNum w:abstractNumId="146">
    <w:nsid w:val="397C46BC"/>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47">
    <w:nsid w:val="7E448DE9"/>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48">
    <w:nsid w:val="5A9CC3E5"/>
    <w:multiLevelType w:val="hybridMultilevel"/>
    <w:lvl w:ilvl="0">
      <w:lvlJc w:val="left"/>
      <w:lvlText w:val="(%1)"/>
      <w:numFmt w:val="upperLetter"/>
      <w:start w:val="2"/>
    </w:lvl>
  </w:abstractNum>
  <w:abstractNum w:abstractNumId="149">
    <w:nsid w:val="1AFE362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50">
    <w:nsid w:val="3CA88ECF"/>
    <w:multiLevelType w:val="hybridMultilevel"/>
    <w:lvl w:ilvl="0">
      <w:lvlJc w:val="left"/>
      <w:lvlText w:val="(%1)"/>
      <w:numFmt w:val="upperLetter"/>
      <w:start w:val="7"/>
    </w:lvl>
  </w:abstractNum>
  <w:abstractNum w:abstractNumId="151">
    <w:nsid w:val="6EBE4208"/>
    <w:multiLevelType w:val="hybridMultilevel"/>
    <w:lvl w:ilvl="0">
      <w:lvlJc w:val="left"/>
      <w:lvlText w:val="(%1)"/>
      <w:numFmt w:val="upperLetter"/>
      <w:start w:val="1"/>
    </w:lvl>
    <w:lvl w:ilvl="1">
      <w:lvlJc w:val="left"/>
      <w:lvlText w:val="-"/>
      <w:numFmt w:val="bullet"/>
      <w:start w:val="1"/>
    </w:lvl>
  </w:abstractNum>
  <w:abstractNum w:abstractNumId="152">
    <w:nsid w:val="C058DF5"/>
    <w:multiLevelType w:val="hybridMultilevel"/>
    <w:lvl w:ilvl="0">
      <w:lvlJc w:val="left"/>
      <w:lvlText w:val="(%1)"/>
      <w:numFmt w:val="upperLetter"/>
      <w:start w:val="12"/>
    </w:lvl>
  </w:abstractNum>
  <w:abstractNum w:abstractNumId="153">
    <w:nsid w:val="CBE5BE9"/>
    <w:multiLevelType w:val="hybridMultilevel"/>
    <w:lvl w:ilvl="0">
      <w:lvlJc w:val="left"/>
      <w:lvlText w:val="(%1)"/>
      <w:numFmt w:val="upperLetter"/>
      <w:start w:val="2"/>
    </w:lvl>
  </w:abstractNum>
  <w:abstractNum w:abstractNumId="154">
    <w:nsid w:val="3102BBE2"/>
    <w:multiLevelType w:val="hybridMultilevel"/>
    <w:lvl w:ilvl="0">
      <w:lvlJc w:val="left"/>
      <w:lvlText w:val="(%1)"/>
      <w:numFmt w:val="upperLetter"/>
      <w:start w:val="4"/>
    </w:lvl>
  </w:abstractNum>
  <w:abstractNum w:abstractNumId="155">
    <w:nsid w:val="26A02C5E"/>
    <w:multiLevelType w:val="hybridMultilevel"/>
    <w:lvl w:ilvl="0">
      <w:lvlJc w:val="left"/>
      <w:lvlText w:val="(%1)"/>
      <w:numFmt w:val="upperLetter"/>
      <w:start w:val="1"/>
    </w:lvl>
  </w:abstractNum>
  <w:abstractNum w:abstractNumId="156">
    <w:nsid w:val="541C8153"/>
    <w:multiLevelType w:val="hybridMultilevel"/>
    <w:lvl w:ilvl="0">
      <w:lvlJc w:val="left"/>
      <w:lvlText w:val="(%1)"/>
      <w:numFmt w:val="upperLetter"/>
      <w:start w:val="1"/>
    </w:lvl>
    <w:lvl w:ilvl="1">
      <w:lvlJc w:val="left"/>
      <w:lvlText w:val="-"/>
      <w:numFmt w:val="bullet"/>
      <w:start w:val="1"/>
    </w:lvl>
  </w:abstractNum>
  <w:abstractNum w:abstractNumId="157">
    <w:nsid w:val="67906F60"/>
    <w:multiLevelType w:val="hybridMultilevel"/>
    <w:lvl w:ilvl="0">
      <w:lvlJc w:val="left"/>
      <w:lvlText w:val="(%1)"/>
      <w:numFmt w:val="upperLetter"/>
      <w:start w:val="2"/>
    </w:lvl>
    <w:lvl w:ilvl="1">
      <w:lvlJc w:val="left"/>
      <w:lvlText w:val="(%2)"/>
      <w:numFmt w:val="lowerRoman"/>
      <w:start w:val="1"/>
    </w:lvl>
  </w:abstractNum>
  <w:abstractNum w:abstractNumId="158">
    <w:nsid w:val="10DB9DAA"/>
    <w:multiLevelType w:val="hybridMultilevel"/>
    <w:lvl w:ilvl="0">
      <w:lvlJc w:val="left"/>
      <w:lvlText w:val="(%1)"/>
      <w:numFmt w:val="upperLetter"/>
      <w:start w:val="2"/>
    </w:lvl>
  </w:abstractNum>
  <w:abstractNum w:abstractNumId="159">
    <w:nsid w:val="697D2D2"/>
    <w:multiLevelType w:val="hybridMultilevel"/>
    <w:lvl w:ilvl="0">
      <w:lvlJc w:val="left"/>
      <w:lvlText w:val="(%1)"/>
      <w:numFmt w:val="upperLetter"/>
      <w:start w:val="1"/>
    </w:lvl>
  </w:abstractNum>
  <w:abstractNum w:abstractNumId="160">
    <w:nsid w:val="6D68AB2"/>
    <w:multiLevelType w:val="hybridMultilevel"/>
    <w:lvl w:ilvl="0">
      <w:lvlJc w:val="left"/>
      <w:lvlText w:val="(%1)"/>
      <w:numFmt w:val="upperLetter"/>
      <w:start w:val="1"/>
    </w:lvl>
  </w:abstractNum>
  <w:abstractNum w:abstractNumId="161">
    <w:nsid w:val="3A966CD0"/>
    <w:multiLevelType w:val="hybridMultilevel"/>
    <w:lvl w:ilvl="0">
      <w:lvlJc w:val="left"/>
      <w:lvlText w:val="*"/>
      <w:numFmt w:val="bullet"/>
      <w:start w:val="1"/>
    </w:lvl>
  </w:abstractNum>
  <w:abstractNum w:abstractNumId="162">
    <w:nsid w:val="63F37E85"/>
    <w:multiLevelType w:val="hybridMultilevel"/>
    <w:lvl w:ilvl="0">
      <w:lvlJc w:val="left"/>
      <w:lvlText w:val="†"/>
      <w:numFmt w:val="bullet"/>
      <w:start w:val="1"/>
    </w:lvl>
  </w:abstractNum>
  <w:abstractNum w:abstractNumId="163">
    <w:nsid w:val="5895F5FA"/>
    <w:multiLevelType w:val="hybridMultilevel"/>
    <w:lvl w:ilvl="0">
      <w:lvlJc w:val="left"/>
      <w:lvlText w:val="%1."/>
      <w:numFmt w:val="decimal"/>
      <w:start w:val="1"/>
    </w:lvl>
  </w:abstractNum>
  <w:abstractNum w:abstractNumId="164">
    <w:nsid w:val="38A5D054"/>
    <w:multiLevelType w:val="hybridMultilevel"/>
    <w:lvl w:ilvl="0">
      <w:lvlJc w:val="left"/>
      <w:lvlText w:val="%1."/>
      <w:numFmt w:val="decimal"/>
      <w:start w:val="9"/>
    </w:lvl>
  </w:abstractNum>
  <w:abstractNum w:abstractNumId="165">
    <w:nsid w:val="F3F09D8"/>
    <w:multiLevelType w:val="hybridMultilevel"/>
    <w:lvl w:ilvl="0">
      <w:lvlJc w:val="left"/>
      <w:lvlText w:val="*"/>
      <w:numFmt w:val="bullet"/>
      <w:start w:val="1"/>
    </w:lvl>
  </w:abstractNum>
  <w:abstractNum w:abstractNumId="166">
    <w:nsid w:val="4B793735"/>
    <w:multiLevelType w:val="hybridMultilevel"/>
    <w:lvl w:ilvl="0">
      <w:lvlJc w:val="left"/>
      <w:lvlText w:val="☐"/>
      <w:numFmt w:val="bullet"/>
      <w:start w:val="1"/>
    </w:lvl>
  </w:abstractNum>
  <w:abstractNum w:abstractNumId="167">
    <w:nsid w:val="4A10B4E8"/>
    <w:multiLevelType w:val="hybridMultilevel"/>
    <w:lvl w:ilvl="0">
      <w:lvlJc w:val="left"/>
      <w:lvlText w:val="*"/>
      <w:numFmt w:val="bullet"/>
      <w:start w:val="1"/>
    </w:lvl>
  </w:abstractNum>
  <w:abstractNum w:abstractNumId="168">
    <w:nsid w:val="43D3BCD4"/>
    <w:multiLevelType w:val="hybridMultilevel"/>
    <w:lvl w:ilvl="0">
      <w:lvlJc w:val="left"/>
      <w:lvlText w:val="☐"/>
      <w:numFmt w:val="bullet"/>
      <w:start w:val="1"/>
    </w:lvl>
  </w:abstractNum>
  <w:abstractNum w:abstractNumId="169">
    <w:nsid w:val="4C2A7166"/>
    <w:multiLevelType w:val="hybridMultilevel"/>
    <w:lvl w:ilvl="0">
      <w:lvlJc w:val="left"/>
      <w:lvlText w:val="*"/>
      <w:numFmt w:val="bullet"/>
      <w:start w:val="1"/>
    </w:lvl>
  </w:abstractNum>
  <w:abstractNum w:abstractNumId="170">
    <w:nsid w:val="2E534A82"/>
    <w:multiLevelType w:val="hybridMultilevel"/>
    <w:lvl w:ilvl="0">
      <w:lvlJc w:val="left"/>
      <w:lvlText w:val="☐"/>
      <w:numFmt w:val="bullet"/>
      <w:start w:val="1"/>
    </w:lvl>
  </w:abstractNum>
  <w:abstractNum w:abstractNumId="171">
    <w:nsid w:val="26F2D364"/>
    <w:multiLevelType w:val="hybridMultilevel"/>
    <w:lvl w:ilvl="0">
      <w:lvlJc w:val="left"/>
      <w:lvlText w:val="*"/>
      <w:numFmt w:val="bullet"/>
      <w:start w:val="1"/>
    </w:lvl>
  </w:abstractNum>
  <w:abstractNum w:abstractNumId="172">
    <w:nsid w:val="71C1AF98"/>
    <w:multiLevelType w:val="hybridMultilevel"/>
    <w:lvl w:ilvl="0">
      <w:lvlJc w:val="left"/>
      <w:lvlText w:val="(%1)"/>
      <w:numFmt w:val="decimal"/>
      <w:start w:val="1"/>
    </w:lvl>
    <w:lvl w:ilvl="1">
      <w:lvlJc w:val="left"/>
      <w:lvlText w:val="(%2)"/>
      <w:numFmt w:val="upperLetter"/>
      <w:start w:val="1"/>
    </w:lvl>
  </w:abstractNum>
  <w:abstractNum w:abstractNumId="173">
    <w:nsid w:val="3D00B9D9"/>
    <w:multiLevelType w:val="hybridMultilevel"/>
    <w:lvl w:ilvl="0">
      <w:lvlJc w:val="left"/>
      <w:lvlText w:val="*"/>
      <w:numFmt w:val="bullet"/>
      <w:start w:val="1"/>
    </w:lvl>
  </w:abstractNum>
  <w:abstractNum w:abstractNumId="174">
    <w:nsid w:val="15BCABA8"/>
    <w:multiLevelType w:val="hybridMultilevel"/>
    <w:lvl w:ilvl="0">
      <w:lvlJc w:val="left"/>
      <w:lvlText w:val="(%1)"/>
      <w:numFmt w:val="lowerLetter"/>
      <w:start w:val="35"/>
    </w:lvl>
  </w:abstractNum>
  <w:abstractNum w:abstractNumId="175">
    <w:nsid w:val="4E0B9A87"/>
    <w:multiLevelType w:val="hybridMultilevel"/>
    <w:lvl w:ilvl="0">
      <w:lvlJc w:val="left"/>
      <w:lvlText w:val="(%1)"/>
      <w:numFmt w:val="lowerLetter"/>
      <w:start w:val="25"/>
    </w:lvl>
  </w:abstractNum>
  <w:abstractNum w:abstractNumId="176">
    <w:nsid w:val="434BAE75"/>
    <w:multiLevelType w:val="hybridMultilevel"/>
    <w:lvl w:ilvl="0">
      <w:lvlJc w:val="left"/>
      <w:lvlText w:val="1"/>
      <w:numFmt w:val="bullet"/>
      <w:start w:val="1"/>
    </w:lvl>
  </w:abstractNum>
  <w:abstractNum w:abstractNumId="177">
    <w:nsid w:val="4F38F265"/>
    <w:multiLevelType w:val="hybridMultilevel"/>
    <w:lvl w:ilvl="0">
      <w:lvlJc w:val="left"/>
      <w:lvlText w:val="2"/>
      <w:numFmt w:val="bullet"/>
      <w:start w:val="1"/>
    </w:lvl>
  </w:abstractNum>
  <w:abstractNum w:abstractNumId="178">
    <w:nsid w:val="4C502870"/>
    <w:multiLevelType w:val="hybridMultilevel"/>
    <w:lvl w:ilvl="0">
      <w:lvlJc w:val="left"/>
      <w:lvlText w:val="3"/>
      <w:numFmt w:val="bullet"/>
      <w:start w:val="1"/>
    </w:lvl>
  </w:abstractNum>
  <w:abstractNum w:abstractNumId="179">
    <w:nsid w:val="1DE8725A"/>
    <w:multiLevelType w:val="hybridMultilevel"/>
    <w:lvl w:ilvl="0">
      <w:lvlJc w:val="left"/>
      <w:lvlText w:val="4"/>
      <w:numFmt w:val="bullet"/>
      <w:start w:val="1"/>
    </w:lvl>
  </w:abstractNum>
  <w:abstractNum w:abstractNumId="180">
    <w:nsid w:val="6A37288A"/>
    <w:multiLevelType w:val="hybridMultilevel"/>
    <w:lvl w:ilvl="0">
      <w:lvlJc w:val="left"/>
      <w:lvlText w:val="5"/>
      <w:numFmt w:val="bullet"/>
      <w:start w:val="1"/>
    </w:lvl>
  </w:abstractNum>
  <w:abstractNum w:abstractNumId="181">
    <w:nsid w:val="8F8B73F"/>
    <w:multiLevelType w:val="hybridMultilevel"/>
    <w:lvl w:ilvl="0">
      <w:lvlJc w:val="left"/>
      <w:lvlText w:val="6"/>
      <w:numFmt w:val="bullet"/>
      <w:start w:val="1"/>
    </w:lvl>
  </w:abstractNum>
  <w:abstractNum w:abstractNumId="182">
    <w:nsid w:val="CA6B462"/>
    <w:multiLevelType w:val="hybridMultilevel"/>
    <w:lvl w:ilvl="0">
      <w:lvlJc w:val="left"/>
      <w:lvlText w:val="7"/>
      <w:numFmt w:val="bullet"/>
      <w:start w:val="1"/>
    </w:lvl>
  </w:abstractNum>
  <w:abstractNum w:abstractNumId="183">
    <w:nsid w:val="763CB680"/>
    <w:multiLevelType w:val="hybridMultilevel"/>
    <w:lvl w:ilvl="0">
      <w:lvlJc w:val="left"/>
      <w:lvlText w:val="8"/>
      <w:numFmt w:val="bullet"/>
      <w:start w:val="1"/>
    </w:lvl>
  </w:abstractNum>
  <w:abstractNum w:abstractNumId="184">
    <w:nsid w:val="15B71329"/>
    <w:multiLevelType w:val="hybridMultilevel"/>
    <w:lvl w:ilvl="0">
      <w:lvlJc w:val="left"/>
      <w:lvlText w:val="%1."/>
      <w:numFmt w:val="decimal"/>
      <w:start w:val="1"/>
    </w:lvl>
  </w:abstractNum>
  <w:abstractNum w:abstractNumId="185">
    <w:nsid w:val="3DA97044"/>
    <w:multiLevelType w:val="hybridMultilevel"/>
    <w:lvl w:ilvl="0">
      <w:lvlJc w:val="left"/>
      <w:lvlText w:val="9"/>
      <w:numFmt w:val="bullet"/>
      <w:start w:val="1"/>
    </w:lvl>
  </w:abstractNum>
  <w:abstractNum w:abstractNumId="186">
    <w:nsid w:val="1CDCE2DE"/>
    <w:multiLevelType w:val="hybridMultilevel"/>
    <w:lvl w:ilvl="0">
      <w:lvlJc w:val="left"/>
      <w:lvlText w:val="%1"/>
      <w:numFmt w:val="decimal"/>
      <w:start w:val="10"/>
    </w:lvl>
  </w:abstractNum>
  <w:abstractNum w:abstractNumId="187">
    <w:nsid w:val="69D3947C"/>
    <w:multiLevelType w:val="hybridMultilevel"/>
    <w:lvl w:ilvl="0">
      <w:lvlJc w:val="left"/>
      <w:lvlText w:val="%1"/>
      <w:numFmt w:val="decimal"/>
      <w:start w:val="11"/>
    </w:lvl>
  </w:abstractNum>
  <w:abstractNum w:abstractNumId="188">
    <w:nsid w:val="2539DFA5"/>
    <w:multiLevelType w:val="hybridMultilevel"/>
    <w:lvl w:ilvl="0">
      <w:lvlJc w:val="left"/>
      <w:lvlText w:val="%1"/>
      <w:numFmt w:val="decimal"/>
      <w:start w:val="12"/>
    </w:lvl>
  </w:abstractNum>
  <w:abstractNum w:abstractNumId="189">
    <w:nsid w:val="2DB88089"/>
    <w:multiLevelType w:val="hybridMultilevel"/>
    <w:lvl w:ilvl="0">
      <w:lvlJc w:val="left"/>
      <w:lvlText w:val="%1"/>
      <w:numFmt w:val="decimal"/>
      <w:start w:val="14"/>
    </w:lvl>
  </w:abstractNum>
  <w:abstractNum w:abstractNumId="190">
    <w:nsid w:val="706B674E"/>
    <w:multiLevelType w:val="hybridMultilevel"/>
    <w:lvl w:ilvl="0">
      <w:lvlJc w:val="left"/>
      <w:lvlText w:val="(%1)"/>
      <w:numFmt w:val="lowerRoman"/>
      <w:start w:val="4"/>
    </w:lvl>
  </w:abstractNum>
  <w:abstractNum w:abstractNumId="191">
    <w:nsid w:val="2C106A57"/>
    <w:multiLevelType w:val="hybridMultilevel"/>
    <w:lvl w:ilvl="0">
      <w:lvlJc w:val="left"/>
      <w:lvlText w:val="%1."/>
      <w:numFmt w:val="decimal"/>
      <w:start w:val="5"/>
    </w:lvl>
    <w:lvl w:ilvl="1">
      <w:lvlJc w:val="left"/>
      <w:lvlText w:val="(%2)"/>
      <w:numFmt w:val="lowerLetter"/>
      <w:start w:val="1"/>
    </w:lvl>
  </w:abstractNum>
  <w:abstractNum w:abstractNumId="192">
    <w:nsid w:val="684EED59"/>
    <w:multiLevelType w:val="hybridMultilevel"/>
    <w:lvl w:ilvl="0">
      <w:lvlJc w:val="left"/>
      <w:lvlText w:val="(%1)"/>
      <w:numFmt w:val="lowerLetter"/>
      <w:start w:val="2"/>
    </w:lvl>
  </w:abstractNum>
  <w:abstractNum w:abstractNumId="193">
    <w:nsid w:val="545EE5D3"/>
    <w:multiLevelType w:val="hybridMultilevel"/>
    <w:lvl w:ilvl="0">
      <w:lvlJc w:val="left"/>
      <w:lvlText w:val="%1."/>
      <w:numFmt w:val="decimal"/>
      <w:start w:val="8"/>
    </w:lvl>
    <w:lvl w:ilvl="1">
      <w:lvlJc w:val="left"/>
      <w:lvlText w:val="(%2)"/>
      <w:numFmt w:val="lowerLetter"/>
      <w:start w:val="1"/>
    </w:lvl>
  </w:abstractNum>
  <w:abstractNum w:abstractNumId="194">
    <w:nsid w:val="4A66051"/>
    <w:multiLevelType w:val="hybridMultilevel"/>
    <w:lvl w:ilvl="0">
      <w:lvlJc w:val="left"/>
      <w:lvlText w:val="%1"/>
      <w:numFmt w:val="decimal"/>
      <w:start w:val="15"/>
    </w:lvl>
  </w:abstractNum>
  <w:abstractNum w:abstractNumId="195">
    <w:nsid w:val="20F4BDAD"/>
    <w:multiLevelType w:val="hybridMultilevel"/>
    <w:lvl w:ilvl="0">
      <w:lvlJc w:val="left"/>
      <w:lvlText w:val="%1"/>
      <w:numFmt w:val="decimal"/>
      <w:start w:val="1"/>
    </w:lvl>
    <w:lvl w:ilvl="1">
      <w:lvlJc w:val="left"/>
      <w:lvlText w:val="(%2)"/>
      <w:numFmt w:val="lowerLetter"/>
      <w:start w:val="7"/>
    </w:lvl>
    <w:lvl w:ilvl="2">
      <w:lvlJc w:val="left"/>
      <w:lvlText w:val="(%3)"/>
      <w:numFmt w:val="upperLetter"/>
      <w:start w:val="1"/>
    </w:lvl>
  </w:abstractNum>
  <w:abstractNum w:abstractNumId="196">
    <w:nsid w:val="639DEFA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197">
    <w:nsid w:val="501F9786"/>
    <w:multiLevelType w:val="hybridMultilevel"/>
    <w:lvl w:ilvl="0">
      <w:lvlJc w:val="left"/>
      <w:lvlText w:val="%1"/>
      <w:numFmt w:val="decimal"/>
      <w:start w:val="1"/>
    </w:lvl>
    <w:lvl w:ilvl="1">
      <w:lvlJc w:val="left"/>
      <w:lvlText w:val="(%2)"/>
      <w:numFmt w:val="lowerLetter"/>
      <w:start w:val="10"/>
    </w:lvl>
    <w:lvl w:ilvl="2">
      <w:lvlJc w:val="left"/>
      <w:lvlText w:val="%3"/>
      <w:numFmt w:val="upperLetter"/>
      <w:start w:val="1"/>
    </w:lvl>
  </w:abstractNum>
  <w:abstractNum w:abstractNumId="198">
    <w:nsid w:val="6B057295"/>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abstractNum>
  <w:abstractNum w:abstractNumId="199">
    <w:nsid w:val="2771AC80"/>
    <w:multiLevelType w:val="hybridMultilevel"/>
    <w:lvl w:ilvl="0">
      <w:lvlJc w:val="left"/>
      <w:lvlText w:val="%1"/>
      <w:numFmt w:val="decimal"/>
      <w:start w:val="16"/>
    </w:lvl>
  </w:abstractNum>
  <w:abstractNum w:abstractNumId="200">
    <w:nsid w:val="1C4A08EC"/>
    <w:multiLevelType w:val="hybridMultilevel"/>
    <w:lvl w:ilvl="0">
      <w:lvlJc w:val="left"/>
      <w:lvlText w:val="(%1)"/>
      <w:numFmt w:val="lowerLetter"/>
      <w:start w:val="3"/>
    </w:lvl>
  </w:abstractNum>
  <w:abstractNum w:abstractNumId="201">
    <w:nsid w:val="1958BD1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02">
    <w:nsid w:val="4E647FE4"/>
    <w:multiLevelType w:val="hybridMultilevel"/>
    <w:lvl w:ilvl="0">
      <w:lvlJc w:val="left"/>
      <w:lvlText w:val="(%1)"/>
      <w:numFmt w:val="lowerRoman"/>
      <w:start w:val="2"/>
    </w:lvl>
  </w:abstractNum>
  <w:abstractNum w:abstractNumId="203">
    <w:nsid w:val="E0BB885"/>
    <w:multiLevelType w:val="hybridMultilevel"/>
    <w:lvl w:ilvl="0">
      <w:lvlJc w:val="left"/>
      <w:lvlText w:val="%1"/>
      <w:numFmt w:val="decimal"/>
      <w:start w:val="17"/>
    </w:lvl>
  </w:abstractNum>
  <w:abstractNum w:abstractNumId="204">
    <w:nsid w:val="565976F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05">
    <w:nsid w:val="64212B8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06">
    <w:nsid w:val="5C17530C"/>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207">
    <w:nsid w:val="19A52566"/>
    <w:multiLevelType w:val="hybridMultilevel"/>
    <w:lvl w:ilvl="0">
      <w:lvlJc w:val="left"/>
      <w:lvlText w:val="%1"/>
      <w:numFmt w:val="lowerLetter"/>
      <w:start w:val="1"/>
    </w:lvl>
    <w:lvl w:ilvl="1">
      <w:lvlJc w:val="left"/>
      <w:lvlText w:val="(%2)"/>
      <w:numFmt w:val="lowerRoman"/>
      <w:start w:val="2"/>
    </w:lvl>
  </w:abstractNum>
  <w:abstractNum w:abstractNumId="208">
    <w:nsid w:val="335A1DF1"/>
    <w:multiLevelType w:val="hybridMultilevel"/>
    <w:lvl w:ilvl="0">
      <w:lvlJc w:val="left"/>
      <w:lvlText w:val="(%1)"/>
      <w:numFmt w:val="lowerLetter"/>
      <w:start w:val="7"/>
    </w:lvl>
    <w:lvl w:ilvl="1">
      <w:lvlJc w:val="left"/>
      <w:lvlText w:val="%2"/>
      <w:numFmt w:val="lowerRoman"/>
      <w:start w:val="1"/>
    </w:lvl>
  </w:abstractNum>
  <w:abstractNum w:abstractNumId="209">
    <w:nsid w:val="28677B7C"/>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10">
    <w:nsid w:val="378D97C0"/>
    <w:multiLevelType w:val="hybridMultilevel"/>
    <w:lvl w:ilvl="0">
      <w:lvlJc w:val="left"/>
      <w:lvlText w:val="%1"/>
      <w:numFmt w:val="decimal"/>
      <w:start w:val="18"/>
    </w:lvl>
  </w:abstractNum>
  <w:abstractNum w:abstractNumId="211">
    <w:nsid w:val="1D91467C"/>
    <w:multiLevelType w:val="hybridMultilevel"/>
    <w:lvl w:ilvl="0">
      <w:lvlJc w:val="left"/>
      <w:lvlText w:val="(%1)"/>
      <w:numFmt w:val="lowerLetter"/>
      <w:start w:val="35"/>
    </w:lvl>
  </w:abstractNum>
  <w:abstractNum w:abstractNumId="212">
    <w:nsid w:val="316032BB"/>
    <w:multiLevelType w:val="hybridMultilevel"/>
    <w:lvl w:ilvl="0">
      <w:lvlJc w:val="left"/>
      <w:lvlText w:val="(%1)"/>
      <w:numFmt w:val="lowerLetter"/>
      <w:start w:val="25"/>
    </w:lvl>
  </w:abstractNum>
  <w:abstractNum w:abstractNumId="213">
    <w:nsid w:val="44344C22"/>
    <w:multiLevelType w:val="hybridMultilevel"/>
    <w:lvl w:ilvl="0">
      <w:lvlJc w:val="left"/>
      <w:lvlText w:val="%1"/>
      <w:numFmt w:val="lowerRoman"/>
      <w:start w:val="1"/>
    </w:lvl>
    <w:lvl w:ilvl="1">
      <w:lvlJc w:val="left"/>
      <w:lvlText w:val="(%2)"/>
      <w:numFmt w:val="upperLetter"/>
      <w:start w:val="5"/>
    </w:lvl>
  </w:abstractNum>
  <w:abstractNum w:abstractNumId="214">
    <w:nsid w:val="13CDFCFC"/>
    <w:multiLevelType w:val="hybridMultilevel"/>
    <w:lvl w:ilvl="0">
      <w:lvlJc w:val="left"/>
      <w:lvlText w:val="(%1)"/>
      <w:numFmt w:val="lowerRoman"/>
      <w:start w:val="2"/>
    </w:lvl>
    <w:lvl w:ilvl="1">
      <w:lvlJc w:val="left"/>
      <w:lvlText w:val="%2"/>
      <w:numFmt w:val="upperLetter"/>
      <w:start w:val="1"/>
    </w:lvl>
  </w:abstractNum>
  <w:abstractNum w:abstractNumId="215">
    <w:nsid w:val="471745E4"/>
    <w:multiLevelType w:val="hybridMultilevel"/>
    <w:lvl w:ilvl="0">
      <w:lvlJc w:val="left"/>
      <w:lvlText w:val="(%1)"/>
      <w:numFmt w:val="lowerRoman"/>
      <w:start w:val="3"/>
    </w:lvl>
  </w:abstractNum>
  <w:abstractNum w:abstractNumId="216">
    <w:nsid w:val="1DDBC66"/>
    <w:multiLevelType w:val="hybridMultilevel"/>
    <w:lvl w:ilvl="0">
      <w:lvlJc w:val="left"/>
      <w:lvlText w:val="%1"/>
      <w:numFmt w:val="decimal"/>
      <w:start w:val="21"/>
    </w:lvl>
  </w:abstractNum>
  <w:abstractNum w:abstractNumId="217">
    <w:nsid w:val="30AADFD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6"/>
    </w:lvl>
  </w:abstractNum>
  <w:abstractNum w:abstractNumId="218">
    <w:nsid w:val="30EADA61"/>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219">
    <w:nsid w:val="27179C0B"/>
    <w:multiLevelType w:val="hybridMultilevel"/>
    <w:lvl w:ilvl="0">
      <w:lvlJc w:val="left"/>
      <w:lvlText w:val="(%1)"/>
      <w:numFmt w:val="lowerLetter"/>
      <w:start w:val="10"/>
    </w:lvl>
    <w:lvl w:ilvl="1">
      <w:lvlJc w:val="left"/>
      <w:lvlText w:val="(%2)"/>
      <w:numFmt w:val="lowerLetter"/>
      <w:start w:val="9"/>
    </w:lvl>
    <w:lvl w:ilvl="2">
      <w:lvlJc w:val="left"/>
      <w:lvlText w:val="%3"/>
      <w:numFmt w:val="lowerLetter"/>
      <w:start w:val="1"/>
    </w:lvl>
  </w:abstractNum>
  <w:abstractNum w:abstractNumId="220">
    <w:nsid w:val="5E636063"/>
    <w:multiLevelType w:val="hybridMultilevel"/>
    <w:lvl w:ilvl="0">
      <w:lvlJc w:val="left"/>
      <w:lvlText w:val="(%1)"/>
      <w:numFmt w:val="lowerRoman"/>
      <w:start w:val="2"/>
    </w:lvl>
  </w:abstractNum>
  <w:abstractNum w:abstractNumId="221">
    <w:nsid w:val="215641AF"/>
    <w:multiLevelType w:val="hybridMultilevel"/>
    <w:lvl w:ilvl="0">
      <w:lvlJc w:val="left"/>
      <w:lvlText w:val="%1"/>
      <w:numFmt w:val="lowerLetter"/>
      <w:start w:val="1"/>
    </w:lvl>
    <w:lvl w:ilvl="1">
      <w:lvlJc w:val="left"/>
      <w:lvlText w:val="(%2)"/>
      <w:numFmt w:val="lowerRoman"/>
      <w:start w:val="3"/>
    </w:lvl>
  </w:abstractNum>
  <w:abstractNum w:abstractNumId="222">
    <w:nsid w:val="53280662"/>
    <w:multiLevelType w:val="hybridMultilevel"/>
    <w:lvl w:ilvl="0">
      <w:lvlJc w:val="left"/>
      <w:lvlText w:val="(%1)"/>
      <w:numFmt w:val="lowerLetter"/>
      <w:start w:val="11"/>
    </w:lvl>
    <w:lvl w:ilvl="1">
      <w:lvlJc w:val="left"/>
      <w:lvlText w:val="%2"/>
      <w:numFmt w:val="lowerRoman"/>
      <w:start w:val="1"/>
    </w:lvl>
  </w:abstractNum>
  <w:abstractNum w:abstractNumId="223">
    <w:nsid w:val="46B24DBC"/>
    <w:multiLevelType w:val="hybridMultilevel"/>
    <w:lvl w:ilvl="0">
      <w:lvlJc w:val="left"/>
      <w:lvlText w:val="(%1)"/>
      <w:numFmt w:val="lowerLetter"/>
      <w:start w:val="13"/>
    </w:lvl>
  </w:abstractNum>
  <w:abstractNum w:abstractNumId="224">
    <w:nsid w:val="75B52783"/>
    <w:multiLevelType w:val="hybridMultilevel"/>
    <w:lvl w:ilvl="0">
      <w:lvlJc w:val="left"/>
      <w:lvlText w:val="(%1)"/>
      <w:numFmt w:val="lowerLetter"/>
      <w:start w:val="16"/>
    </w:lvl>
    <w:lvl w:ilvl="1">
      <w:lvlJc w:val="left"/>
      <w:lvlText w:val="(%2)"/>
      <w:numFmt w:val="lowerRoman"/>
      <w:start w:val="1"/>
    </w:lvl>
  </w:abstractNum>
  <w:abstractNum w:abstractNumId="225">
    <w:nsid w:val="57CE66B4"/>
    <w:multiLevelType w:val="hybridMultilevel"/>
    <w:lvl w:ilvl="0">
      <w:lvlJc w:val="left"/>
      <w:lvlText w:val="(%1)"/>
      <w:numFmt w:val="lowerLetter"/>
      <w:start w:val="20"/>
    </w:lvl>
  </w:abstractNum>
  <w:abstractNum w:abstractNumId="226">
    <w:nsid w:val="67A70B69"/>
    <w:multiLevelType w:val="hybridMultilevel"/>
    <w:lvl w:ilvl="0">
      <w:lvlJc w:val="left"/>
      <w:lvlText w:val="%1"/>
      <w:numFmt w:val="decimal"/>
      <w:start w:val="23"/>
    </w:lvl>
  </w:abstractNum>
  <w:abstractNum w:abstractNumId="227">
    <w:nsid w:val="5953172F"/>
    <w:multiLevelType w:val="hybridMultilevel"/>
    <w:lvl w:ilvl="0">
      <w:lvlJc w:val="left"/>
      <w:lvlText w:val="(%1)"/>
      <w:numFmt w:val="lowerLetter"/>
      <w:start w:val="23"/>
    </w:lvl>
    <w:lvl w:ilvl="1">
      <w:lvlJc w:val="left"/>
      <w:lvlText w:val="(%2)"/>
      <w:numFmt w:val="lowerRoman"/>
      <w:start w:val="1"/>
    </w:lvl>
  </w:abstractNum>
  <w:abstractNum w:abstractNumId="228">
    <w:nsid w:val="27EDFE3A"/>
    <w:multiLevelType w:val="hybridMultilevel"/>
    <w:lvl w:ilvl="0">
      <w:lvlJc w:val="left"/>
      <w:lvlText w:val="%1"/>
      <w:numFmt w:val="decimal"/>
      <w:start w:val="25"/>
    </w:lvl>
  </w:abstractNum>
  <w:abstractNum w:abstractNumId="229">
    <w:nsid w:val="52AC7DFF"/>
    <w:multiLevelType w:val="hybridMultilevel"/>
    <w:lvl w:ilvl="0">
      <w:lvlJc w:val="left"/>
      <w:lvlText w:val="(%1)"/>
      <w:numFmt w:val="lowerLetter"/>
      <w:start w:val="25"/>
    </w:lvl>
  </w:abstractNum>
  <w:abstractNum w:abstractNumId="230">
    <w:nsid w:val="C4C3AF"/>
    <w:multiLevelType w:val="hybridMultilevel"/>
    <w:lvl w:ilvl="0">
      <w:lvlJc w:val="left"/>
      <w:lvlText w:val="(%1)"/>
      <w:numFmt w:val="lowerLetter"/>
      <w:start w:val="27"/>
    </w:lvl>
  </w:abstractNum>
  <w:abstractNum w:abstractNumId="231">
    <w:nsid w:val="44380727"/>
    <w:multiLevelType w:val="hybridMultilevel"/>
    <w:lvl w:ilvl="0">
      <w:lvlJc w:val="left"/>
      <w:lvlText w:val="%1"/>
      <w:numFmt w:val="decimal"/>
      <w:start w:val="27"/>
    </w:lvl>
  </w:abstractNum>
  <w:abstractNum w:abstractNumId="232">
    <w:nsid w:val="6C053B16"/>
    <w:multiLevelType w:val="hybridMultilevel"/>
    <w:lvl w:ilvl="0">
      <w:lvlJc w:val="left"/>
      <w:lvlText w:val="(%1)"/>
      <w:numFmt w:val="lowerLetter"/>
      <w:start w:val="1"/>
    </w:lvl>
  </w:abstractNum>
  <w:abstractNum w:abstractNumId="233">
    <w:nsid w:val="4F294393"/>
    <w:multiLevelType w:val="hybridMultilevel"/>
    <w:lvl w:ilvl="0">
      <w:lvlJc w:val="left"/>
      <w:lvlText w:val="(%1)"/>
      <w:numFmt w:val="lowerLetter"/>
      <w:start w:val="5"/>
    </w:lvl>
  </w:abstractNum>
  <w:abstractNum w:abstractNumId="234">
    <w:nsid w:val="5243BFA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2026-06-22T15:25:47Z</dcterms:created>
  <dcterms:modified xsi:type="dcterms:W3CDTF">2026-06-22T15:25:47Z</dcterms:modified>
</cp:coreProperties>
</file>