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820" w:right="1480" w:hanging="3812"/>
        <w:spacing w:after="0" w:line="369" w:lineRule="auto"/>
        <w:tabs>
          <w:tab w:leader="none" w:pos="5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880" w:right="1500" w:hanging="3872"/>
        <w:spacing w:after="0" w:line="383" w:lineRule="auto"/>
        <w:tabs>
          <w:tab w:leader="none" w:pos="56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_____to 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001-38957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ADAPTIVE BIOTECHNOLOGIES CORPORATION</w:t>
      </w:r>
    </w:p>
    <w:p>
      <w:pPr>
        <w:sectPr>
          <w:pgSz w:w="11900" w:h="16838" w:orient="portrait"/>
          <w:cols w:equalWidth="0" w:num="1">
            <w:col w:w="11240"/>
          </w:cols>
          <w:pgMar w:left="320" w:top="1240" w:right="339" w:bottom="1440" w:gutter="0" w:footer="0" w:header="0"/>
        </w:sectPr>
      </w:pPr>
    </w:p>
    <w:p>
      <w:pPr>
        <w:spacing w:after="0" w:line="6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1165 Eastlake Avenue East</w:t>
      </w:r>
    </w:p>
    <w:p>
      <w:pPr>
        <w:spacing w:after="0" w:line="1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27-0907024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98109</w:t>
      </w:r>
    </w:p>
    <w:p>
      <w:pPr>
        <w:spacing w:after="0" w:line="27" w:lineRule="exact"/>
        <w:rPr>
          <w:sz w:val="24"/>
          <w:szCs w:val="24"/>
          <w:color w:val="auto"/>
        </w:rPr>
      </w:pPr>
    </w:p>
    <w:p>
      <w:pPr>
        <w:sectPr>
          <w:pgSz w:w="11900" w:h="16838" w:orient="portrait"/>
          <w:cols w:equalWidth="0" w:num="2">
            <w:col w:w="7700" w:space="240"/>
            <w:col w:w="3300"/>
          </w:cols>
          <w:pgMar w:left="320" w:top="1240"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659-0067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20" w:type="dxa"/>
            <w:vAlign w:val="bottom"/>
          </w:tcPr>
          <w:p>
            <w:pPr>
              <w:spacing w:after="0"/>
              <w:rPr>
                <w:sz w:val="13"/>
                <w:szCs w:val="13"/>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7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0" w:type="dxa"/>
            <w:vAlign w:val="bottom"/>
          </w:tcPr>
          <w:p>
            <w:pPr>
              <w:spacing w:after="0"/>
              <w:rPr>
                <w:sz w:val="15"/>
                <w:szCs w:val="15"/>
                <w:color w:val="auto"/>
              </w:rPr>
            </w:pPr>
          </w:p>
        </w:tc>
        <w:tc>
          <w:tcPr>
            <w:tcW w:w="4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ADPT</w:t>
            </w:r>
          </w:p>
        </w:tc>
        <w:tc>
          <w:tcPr>
            <w:tcW w:w="320" w:type="dxa"/>
            <w:vAlign w:val="bottom"/>
          </w:tcPr>
          <w:p>
            <w:pPr>
              <w:spacing w:after="0"/>
              <w:rPr>
                <w:sz w:val="19"/>
                <w:szCs w:val="19"/>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8"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20" w:right="214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30, 2026, the registrant had 160,044,392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6"/>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648"/>
        </w:trPr>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management’s beliefs and assumptions and on information currently available to management. All statements contained in this report other than statements of historical fact are forward-looking statements, which include but are not limited to, statements about:</w:t>
      </w:r>
    </w:p>
    <w:p>
      <w:pPr>
        <w:spacing w:after="0" w:line="68" w:lineRule="exact"/>
        <w:rPr>
          <w:sz w:val="20"/>
          <w:szCs w:val="20"/>
          <w:color w:val="auto"/>
        </w:rPr>
      </w:pPr>
    </w:p>
    <w:p>
      <w:pPr>
        <w:ind w:left="1140" w:right="340" w:hanging="248"/>
        <w:spacing w:after="0" w:line="26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and extend our immune medicine platform to discover, develop and commercialize our products and services, including further commercialization and development of products and services related to our Minimal Residual Disease (“MRD”) and Immune Medicine business areas, particularly in light of the novelty of immune medicine and our methods;</w:t>
      </w:r>
    </w:p>
    <w:p>
      <w:pPr>
        <w:spacing w:after="0" w:line="67" w:lineRule="exact"/>
        <w:rPr>
          <w:rFonts w:ascii="Times New Roman" w:cs="Times New Roman" w:eastAsia="Times New Roman" w:hAnsi="Times New Roman"/>
          <w:sz w:val="18"/>
          <w:szCs w:val="18"/>
          <w:color w:val="auto"/>
        </w:rPr>
      </w:pPr>
    </w:p>
    <w:p>
      <w:pPr>
        <w:ind w:left="1140" w:right="40" w:hanging="248"/>
        <w:spacing w:after="0" w:line="26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commercial market acceptance of our current products and services, including coverage and reimbursement decisions related to clonoSEQ, as well as our ability to achieve market acceptance for any additional products and services beyond our current portfolio, if developed;</w:t>
      </w:r>
    </w:p>
    <w:p>
      <w:pPr>
        <w:spacing w:after="0" w:line="67" w:lineRule="exact"/>
        <w:rPr>
          <w:rFonts w:ascii="Times New Roman" w:cs="Times New Roman" w:eastAsia="Times New Roman" w:hAnsi="Times New Roman"/>
          <w:sz w:val="18"/>
          <w:szCs w:val="18"/>
          <w:color w:val="auto"/>
        </w:rPr>
      </w:pPr>
    </w:p>
    <w:p>
      <w:pPr>
        <w:ind w:left="1140" w:right="500" w:hanging="248"/>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payments, such as milestone fees or payments, based on our customers' use of our data in connection with their achievement of research or regulatory goals relating to their own products;</w:t>
      </w:r>
    </w:p>
    <w:p>
      <w:pPr>
        <w:spacing w:after="0" w:line="53" w:lineRule="exact"/>
        <w:rPr>
          <w:rFonts w:ascii="Times New Roman" w:cs="Times New Roman" w:eastAsia="Times New Roman" w:hAnsi="Times New Roman"/>
          <w:sz w:val="18"/>
          <w:szCs w:val="18"/>
          <w:color w:val="auto"/>
        </w:rPr>
      </w:pPr>
    </w:p>
    <w:p>
      <w:pPr>
        <w:ind w:left="1140" w:right="360" w:hanging="248"/>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T-cell mediated response across different indications and develop products leveraging our T cell receptor (“TCR”)-antigen binding data; and</w:t>
      </w:r>
    </w:p>
    <w:p>
      <w:pPr>
        <w:spacing w:after="0" w:line="53" w:lineRule="exact"/>
        <w:rPr>
          <w:rFonts w:ascii="Times New Roman" w:cs="Times New Roman" w:eastAsia="Times New Roman" w:hAnsi="Times New Roman"/>
          <w:sz w:val="18"/>
          <w:szCs w:val="18"/>
          <w:color w:val="auto"/>
        </w:rPr>
      </w:pPr>
    </w:p>
    <w:p>
      <w:pPr>
        <w:ind w:left="1140" w:right="60" w:hanging="248"/>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reliance on collaborators and other third parties for development, clinical testing and regulatory approval of current products in new indications and potential product candidates, which may fail at any time due to a number of possible unforeseen events.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report also include statements regarding our research and development efforts and other matters regarding our business strategies, use of capital, results of operations and financial position and plans and objectives for future operations. 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These risks, uncertainties and other factors are described under “Risk Factors,” “Management’s Discussion and Analysis of Financial Condition and Results of Operations” and elsewhere in this report and in other documents we file with the Securities and Exchange Commission (the “SEC”) from time to time. We caution you that forward-looking statements are based on a combination of facts and factors currently known by us and our projections of the future, about which we cannot be certain. As a result, the forward-looking statements may not prove to be accurate. The forward-looking statements in this report represent our views as of the date of this report.</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undertake no obligation to update any forward-looking statements for any reason, except as required by law.</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references to “we,” “us,” “our” and similar references refer to Adaptive Biotechnologies Corporation.</w:t>
      </w: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7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70,495</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marketable securities (amortized cost of $140,762 and $156,246, respectively)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156,485</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50,365</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291,807</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300,185</w:t>
            </w:r>
          </w:p>
        </w:tc>
        <w:tc>
          <w:tcPr>
            <w:tcW w:w="100" w:type="dxa"/>
            <w:vAlign w:val="bottom"/>
          </w:tcPr>
          <w:p>
            <w:pPr>
              <w:spacing w:after="0"/>
              <w:rPr>
                <w:sz w:val="18"/>
                <w:szCs w:val="18"/>
                <w:color w:val="auto"/>
              </w:rPr>
            </w:pPr>
          </w:p>
        </w:tc>
      </w:tr>
      <w:tr>
        <w:trPr>
          <w:trHeight w:val="20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34,107</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40,616</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marketable securities (amortized cost of $18,908 and $13,220, respectively)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118,972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118,972</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8"/>
                <w:szCs w:val="18"/>
                <w:color w:val="auto"/>
              </w:rPr>
            </w:pPr>
          </w:p>
        </w:tc>
      </w:tr>
      <w:tr>
        <w:trPr>
          <w:trHeight w:val="250"/>
        </w:trPr>
        <w:tc>
          <w:tcPr>
            <w:tcW w:w="7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505,943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512,736</w:t>
            </w:r>
          </w:p>
        </w:tc>
        <w:tc>
          <w:tcPr>
            <w:tcW w:w="100" w:type="dxa"/>
            <w:vAlign w:val="bottom"/>
            <w:shd w:val="clear" w:color="auto" w:fill="CFF0FC"/>
          </w:tcPr>
          <w:p>
            <w:pPr>
              <w:spacing w:after="0"/>
              <w:rPr>
                <w:sz w:val="21"/>
                <w:szCs w:val="21"/>
                <w:color w:val="auto"/>
              </w:rPr>
            </w:pPr>
          </w:p>
        </w:tc>
      </w:tr>
      <w:tr>
        <w:trPr>
          <w:trHeight w:val="196"/>
        </w:trPr>
        <w:tc>
          <w:tcPr>
            <w:tcW w:w="78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45,194</w:t>
            </w:r>
          </w:p>
        </w:tc>
        <w:tc>
          <w:tcPr>
            <w:tcW w:w="100" w:type="dxa"/>
            <w:vAlign w:val="bottom"/>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revenue interest liability, net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89,915</w:t>
            </w:r>
          </w:p>
        </w:tc>
        <w:tc>
          <w:tcPr>
            <w:tcW w:w="100" w:type="dxa"/>
            <w:vAlign w:val="bottom"/>
          </w:tcPr>
          <w:p>
            <w:pPr>
              <w:spacing w:after="0"/>
              <w:rPr>
                <w:sz w:val="18"/>
                <w:szCs w:val="18"/>
                <w:color w:val="auto"/>
              </w:rPr>
            </w:pPr>
          </w:p>
        </w:tc>
      </w:tr>
      <w:tr>
        <w:trPr>
          <w:trHeight w:val="21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70,228</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interest liability, net, less current portion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126,566</w:t>
            </w:r>
          </w:p>
        </w:tc>
        <w:tc>
          <w:tcPr>
            <w:tcW w:w="100" w:type="dxa"/>
            <w:vAlign w:val="bottom"/>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281,702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287,735</w:t>
            </w:r>
          </w:p>
        </w:tc>
        <w:tc>
          <w:tcPr>
            <w:tcW w:w="100" w:type="dxa"/>
            <w:vAlign w:val="bottom"/>
          </w:tcPr>
          <w:p>
            <w:pPr>
              <w:spacing w:after="0"/>
              <w:rPr>
                <w:sz w:val="18"/>
                <w:szCs w:val="18"/>
                <w:color w:val="auto"/>
              </w:rPr>
            </w:pPr>
          </w:p>
        </w:tc>
      </w:tr>
      <w:tr>
        <w:trPr>
          <w:trHeight w:val="21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4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at March 31, 2026 and December 31,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2025; no shares issued and outstanding at March 31, 2026 and December 31, 2025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340,000,000 shares authorized at March 31, 2026 and December 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159,697,221 and 153,779,418 shares issued and outstanding at March 31, 2026 and December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1,599,708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1,581,848</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(1,383,356)</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(1,363,323)</w:t>
            </w:r>
          </w:p>
        </w:tc>
      </w:tr>
      <w:tr>
        <w:trPr>
          <w:trHeight w:val="209"/>
        </w:trPr>
        <w:tc>
          <w:tcPr>
            <w:tcW w:w="78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Adaptive Biotechnologies Corporation shareholders’ equity</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218,793</w:t>
            </w:r>
          </w:p>
        </w:tc>
        <w:tc>
          <w:tcPr>
            <w:tcW w:w="100" w:type="dxa"/>
            <w:vAlign w:val="bottom"/>
            <w:tcBorders>
              <w:top w:val="single" w:sz="8" w:color="CFF0FC"/>
            </w:tcBorders>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224,241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225,001</w:t>
            </w:r>
          </w:p>
        </w:tc>
        <w:tc>
          <w:tcPr>
            <w:tcW w:w="100" w:type="dxa"/>
            <w:vAlign w:val="bottom"/>
          </w:tcPr>
          <w:p>
            <w:pPr>
              <w:spacing w:after="0"/>
              <w:rPr>
                <w:sz w:val="18"/>
                <w:szCs w:val="18"/>
                <w:color w:val="auto"/>
              </w:rPr>
            </w:pPr>
          </w:p>
        </w:tc>
      </w:tr>
      <w:tr>
        <w:trPr>
          <w:trHeight w:val="249"/>
        </w:trPr>
        <w:tc>
          <w:tcPr>
            <w:tcW w:w="78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505,943</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512,736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-5485765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-5485765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-4088130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-4070985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-2965450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-2125345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-599440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-316230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1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3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(19,206)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(29,604)</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3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Adaptive Biotechnologies Corporation</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(20,033)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(29,852)</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3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Adaptive Biotechnologies Corporation common shareholders,</w:t>
            </w:r>
          </w:p>
        </w:tc>
        <w:tc>
          <w:tcPr>
            <w:tcW w:w="400" w:type="dxa"/>
            <w:vAlign w:val="bottom"/>
            <w:vMerge w:val="restart"/>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5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4"/>
        </w:trPr>
        <w:tc>
          <w:tcPr>
            <w:tcW w:w="73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vMerge w:val="continue"/>
            <w:shd w:val="clear" w:color="auto" w:fill="CFF0FC"/>
          </w:tcPr>
          <w:p>
            <w:pPr>
              <w:spacing w:after="0"/>
              <w:rPr>
                <w:sz w:val="20"/>
                <w:szCs w:val="20"/>
                <w:color w:val="auto"/>
              </w:rPr>
            </w:pPr>
          </w:p>
        </w:tc>
        <w:tc>
          <w:tcPr>
            <w:tcW w:w="1500" w:type="dxa"/>
            <w:vAlign w:val="bottom"/>
            <w:gridSpan w:val="2"/>
            <w:vMerge w:val="continue"/>
            <w:shd w:val="clear" w:color="auto" w:fill="CFF0FC"/>
          </w:tcPr>
          <w:p>
            <w:pPr>
              <w:spacing w:after="0"/>
              <w:rPr>
                <w:sz w:val="20"/>
                <w:szCs w:val="20"/>
                <w:color w:val="auto"/>
              </w:rPr>
            </w:pPr>
          </w:p>
        </w:tc>
        <w:tc>
          <w:tcPr>
            <w:tcW w:w="520" w:type="dxa"/>
            <w:vAlign w:val="bottom"/>
            <w:gridSpan w:val="2"/>
            <w:vMerge w:val="continue"/>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3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Adaptive</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155,521,048</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149,195,028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Biotechnologies Corporation common shareholders, basic and diluted</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5770245</wp:posOffset>
            </wp:positionH>
            <wp:positionV relativeFrom="paragraph">
              <wp:posOffset>-1580515</wp:posOffset>
            </wp:positionV>
            <wp:extent cx="9398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-1580515</wp:posOffset>
            </wp:positionV>
            <wp:extent cx="939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-719455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-299720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-282575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(20,015)</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(29,830)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unrealized gains and losses on investments</w:t>
            </w: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(20,296)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(29,862)</w:t>
            </w:r>
          </w:p>
        </w:tc>
      </w:tr>
      <w:tr>
        <w:trPr>
          <w:trHeight w:val="216"/>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 Comprehensive income attributable to noncontrolling interest</w:t>
            </w: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Adaptive Biotechnologies Corporation</w:t>
            </w:r>
          </w:p>
        </w:tc>
        <w:tc>
          <w:tcPr>
            <w:tcW w:w="940" w:type="dxa"/>
            <w:vAlign w:val="bottom"/>
          </w:tcPr>
          <w:p>
            <w:pPr>
              <w:jc w:val="right"/>
              <w:ind w:right="81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(20,314)</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(29,884)</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840" w:type="dxa"/>
            <w:vAlign w:val="bottom"/>
            <w:gridSpan w:val="4"/>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180" w:type="dxa"/>
            <w:vAlign w:val="bottom"/>
          </w:tcPr>
          <w:p>
            <w:pPr>
              <w:spacing w:after="0"/>
              <w:rPr>
                <w:sz w:val="13"/>
                <w:szCs w:val="13"/>
                <w:color w:val="auto"/>
              </w:rPr>
            </w:pPr>
          </w:p>
        </w:tc>
        <w:tc>
          <w:tcPr>
            <w:tcW w:w="184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d Other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3"/>
                <w:szCs w:val="13"/>
                <w:color w:val="auto"/>
              </w:rPr>
            </w:pPr>
          </w:p>
        </w:tc>
        <w:tc>
          <w:tcPr>
            <w:tcW w:w="80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Comprehens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8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ive Gain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0" w:type="dxa"/>
            <w:vAlign w:val="bottom"/>
          </w:tcPr>
          <w:p>
            <w:pPr>
              <w:spacing w:after="0"/>
              <w:rPr>
                <w:sz w:val="1"/>
                <w:szCs w:val="1"/>
                <w:color w:val="auto"/>
              </w:rPr>
            </w:pPr>
          </w:p>
        </w:tc>
      </w:tr>
      <w:tr>
        <w:trPr>
          <w:trHeight w:val="191"/>
        </w:trPr>
        <w:tc>
          <w:tcPr>
            <w:tcW w:w="41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8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147,773,</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1,506,35</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(1,303,8</w:t>
            </w: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202,485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for cash upon exercise of</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and market-based</w:t>
            </w:r>
          </w:p>
        </w:tc>
        <w:tc>
          <w:tcPr>
            <w:tcW w:w="8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3,260,48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(29,852)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(29,830)</w:t>
            </w:r>
          </w:p>
        </w:tc>
        <w:tc>
          <w:tcPr>
            <w:tcW w:w="0" w:type="dxa"/>
            <w:vAlign w:val="bottom"/>
          </w:tcPr>
          <w:p>
            <w:pPr>
              <w:spacing w:after="0"/>
              <w:rPr>
                <w:sz w:val="1"/>
                <w:szCs w:val="1"/>
                <w:color w:val="auto"/>
              </w:rPr>
            </w:pPr>
          </w:p>
        </w:tc>
      </w:tr>
      <w:tr>
        <w:trPr>
          <w:trHeight w:val="191"/>
        </w:trPr>
        <w:tc>
          <w:tcPr>
            <w:tcW w:w="41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8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151,916,</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1,523,95</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(1,333,6</w:t>
            </w: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18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FF0FC"/>
          </w:tcPr>
          <w:p>
            <w:pPr>
              <w:spacing w:after="0"/>
              <w:rPr>
                <w:sz w:val="23"/>
                <w:szCs w:val="23"/>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190,221</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18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8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153,779,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1,581,84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(1,363,3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for cash upon exercise of</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655,786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and market-based</w:t>
            </w:r>
          </w:p>
        </w:tc>
        <w:tc>
          <w:tcPr>
            <w:tcW w:w="8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5,262,01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Capital contributions for Digital Biotechnologies, Inc.</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(20,033)</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(20,015)</w:t>
            </w:r>
          </w:p>
        </w:tc>
        <w:tc>
          <w:tcPr>
            <w:tcW w:w="0" w:type="dxa"/>
            <w:vAlign w:val="bottom"/>
          </w:tcPr>
          <w:p>
            <w:pPr>
              <w:spacing w:after="0"/>
              <w:rPr>
                <w:sz w:val="1"/>
                <w:szCs w:val="1"/>
                <w:color w:val="auto"/>
              </w:rPr>
            </w:pPr>
          </w:p>
        </w:tc>
      </w:tr>
      <w:tr>
        <w:trPr>
          <w:trHeight w:val="191"/>
        </w:trPr>
        <w:tc>
          <w:tcPr>
            <w:tcW w:w="418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159,697,</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1,599,70</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(1,383,3</w:t>
            </w: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40" w:type="dxa"/>
            <w:vAlign w:val="bottom"/>
          </w:tcPr>
          <w:p>
            <w:pPr>
              <w:spacing w:after="0"/>
              <w:rPr>
                <w:sz w:val="20"/>
                <w:szCs w:val="20"/>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-1842770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-1825625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-1842770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-1825625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-1842770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-1825625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-1842770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-1825625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-1842770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-1825625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-1842770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-1825625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-1842770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-1825625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-307975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-307975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-307975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-307975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-307975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-307975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(20,015)</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(29,830)</w:t>
            </w: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amortization</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 of inventory</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 interest purchase agreement interest</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(1,864)</w:t>
            </w:r>
          </w:p>
        </w:tc>
      </w:tr>
      <w:tr>
        <w:trPr>
          <w:trHeight w:val="216"/>
        </w:trPr>
        <w:tc>
          <w:tcPr>
            <w:tcW w:w="6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(7,512)</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(9,665)</w:t>
            </w:r>
          </w:p>
        </w:tc>
      </w:tr>
      <w:tr>
        <w:trPr>
          <w:trHeight w:val="216"/>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(2,035)</w:t>
            </w:r>
          </w:p>
        </w:tc>
      </w:tr>
      <w:tr>
        <w:trPr>
          <w:trHeight w:val="216"/>
        </w:trPr>
        <w:tc>
          <w:tcPr>
            <w:tcW w:w="6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(3,326)</w:t>
            </w:r>
          </w:p>
        </w:tc>
      </w:tr>
      <w:tr>
        <w:trPr>
          <w:trHeight w:val="216"/>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(9,537)</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(28,484)</w:t>
            </w:r>
          </w:p>
        </w:tc>
      </w:tr>
      <w:tr>
        <w:trPr>
          <w:trHeight w:val="210"/>
        </w:trPr>
        <w:tc>
          <w:tcPr>
            <w:tcW w:w="6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(38,863)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(50,654)</w:t>
            </w:r>
          </w:p>
        </w:tc>
      </w:tr>
      <w:tr>
        <w:trPr>
          <w:trHeight w:val="21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tcPr>
          <w:p>
            <w:pPr>
              <w:spacing w:after="0"/>
              <w:rPr>
                <w:sz w:val="18"/>
                <w:szCs w:val="18"/>
                <w:color w:val="auto"/>
              </w:rPr>
            </w:pPr>
          </w:p>
        </w:tc>
      </w:tr>
      <w:tr>
        <w:trPr>
          <w:trHeight w:val="21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capital contributions for Digital Biotechnologies, Inc.</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96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18"/>
                <w:szCs w:val="18"/>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50,817</w:t>
            </w:r>
          </w:p>
        </w:tc>
        <w:tc>
          <w:tcPr>
            <w:tcW w:w="100" w:type="dxa"/>
            <w:vAlign w:val="bottom"/>
          </w:tcPr>
          <w:p>
            <w:pPr>
              <w:spacing w:after="0"/>
              <w:rPr>
                <w:sz w:val="18"/>
                <w:szCs w:val="18"/>
                <w:color w:val="auto"/>
              </w:rPr>
            </w:pPr>
          </w:p>
        </w:tc>
      </w:tr>
      <w:tr>
        <w:trPr>
          <w:trHeight w:val="24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9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80,290</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100" w:type="dxa"/>
            <w:vAlign w:val="bottom"/>
            <w:shd w:val="clear" w:color="auto" w:fill="CFF0FC"/>
          </w:tcPr>
          <w:p>
            <w:pPr>
              <w:spacing w:after="0"/>
              <w:rPr>
                <w:sz w:val="21"/>
                <w:szCs w:val="21"/>
                <w:color w:val="auto"/>
              </w:rPr>
            </w:pPr>
          </w:p>
        </w:tc>
      </w:tr>
      <w:tr>
        <w:trPr>
          <w:trHeight w:val="197"/>
        </w:trPr>
        <w:tc>
          <w:tcPr>
            <w:tcW w:w="6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9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equipment included in accounts payable and accrued liabilities</w:t>
            </w:r>
          </w:p>
        </w:tc>
        <w:tc>
          <w:tcPr>
            <w:tcW w:w="19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22"/>
                <w:szCs w:val="22"/>
                <w:color w:val="auto"/>
              </w:rPr>
            </w:pPr>
          </w:p>
        </w:tc>
      </w:tr>
      <w:tr>
        <w:trPr>
          <w:trHeight w:val="197"/>
        </w:trPr>
        <w:tc>
          <w:tcPr>
            <w:tcW w:w="6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9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shd w:val="clear" w:color="auto" w:fill="CFF0FC"/>
          </w:tcPr>
          <w:p>
            <w:pPr>
              <w:spacing w:after="0"/>
              <w:rPr>
                <w:sz w:val="22"/>
                <w:szCs w:val="22"/>
                <w:color w:val="auto"/>
              </w:rPr>
            </w:pPr>
          </w:p>
        </w:tc>
      </w:tr>
      <w:tr>
        <w:trPr>
          <w:trHeight w:val="197"/>
        </w:trPr>
        <w:tc>
          <w:tcPr>
            <w:tcW w:w="6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at end of period</w:t>
            </w:r>
          </w:p>
        </w:tc>
        <w:tc>
          <w:tcPr>
            <w:tcW w:w="9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9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77,581</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50,646</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at end of period</w:t>
            </w:r>
          </w:p>
        </w:tc>
        <w:tc>
          <w:tcPr>
            <w:tcW w:w="9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8"/>
                <w:szCs w:val="18"/>
                <w:color w:val="auto"/>
              </w:rPr>
            </w:pPr>
          </w:p>
        </w:tc>
      </w:tr>
      <w:tr>
        <w:trPr>
          <w:trHeight w:val="22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at end of period</w:t>
            </w:r>
          </w:p>
        </w:tc>
        <w:tc>
          <w:tcPr>
            <w:tcW w:w="19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80,290</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100" w:type="dxa"/>
            <w:vAlign w:val="bottom"/>
            <w:shd w:val="clear" w:color="auto" w:fill="CFF0FC"/>
          </w:tcPr>
          <w:p>
            <w:pPr>
              <w:spacing w:after="0"/>
              <w:rPr>
                <w:sz w:val="19"/>
                <w:szCs w:val="19"/>
                <w:color w:val="auto"/>
              </w:rPr>
            </w:pPr>
          </w:p>
        </w:tc>
      </w:tr>
      <w:tr>
        <w:trPr>
          <w:trHeight w:val="20"/>
        </w:trPr>
        <w:tc>
          <w:tcPr>
            <w:tcW w:w="67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-2905125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-2348230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-1795145</wp:posOffset>
            </wp:positionV>
            <wp:extent cx="9398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-1795145</wp:posOffset>
            </wp:positionV>
            <wp:extent cx="9398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-1208405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-1191260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-908050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-890905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-608330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-591185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Adaptive Biotechnologies Corporation (“we,” “us” or “our”) is a commercial-stage company advancing the field of immune medicine by harnessing the inherent biology of the adaptive immune system to transform the diagnosis and treatment of disease. We believe the adaptive immune system is nature’s most finely tuned diagnostic and therapeutic for most diseases, but the inability to decode it has prevented the medical community from fully leveraging its capabilities. Our immune medicine platform applies our proprietary technologies to read the diverse genetic code of a patient’s immune system and understand precisely how the immune system detects and treats disease in that patient. We capture these insights in our dynamic clinical immunomics database and related antigen annotations, which are underpinned by computational biology and machine learning, and use them to develop and commercialize clinical products and services that can be tailored to the needs of individual patients.</w:t>
      </w:r>
    </w:p>
    <w:p>
      <w:pPr>
        <w:spacing w:after="0" w:line="8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Washington on September 8, 2009 under the name Adaptive TCR Corporation. On December 21, 2011, we changed our name to Adaptive Biotechnologies Corporation. We are headquartered in Seattle, Washington.</w:t>
      </w:r>
    </w:p>
    <w:p>
      <w:pPr>
        <w:spacing w:after="0" w:line="26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and subsidiaries in which we hold less than a majority interest when we have the ability to direct the activities that most significantly affect economic performance and when other investors do not have substantive rights to participate in those decisions. The unaudited condensed consolidated financial statements include the accounts of Adaptive Biotechnologies Corporation, Adaptive Biotechnologies B.V., our wholly-owned subsidiary, and Digital Biotechnologies, Inc., a subsidiary in which we had 46% ownership interest as of March 31, 2026 and have certain control rights. The remaining interest in Digital Biotechnologies, Inc., held by certain of our related parties, their related family trusts and Series A Preferred Stock holders, are shown in the unaudited condensed consolidated financial statements as noncontrolling interest. All intercompany transactions and balances have been eliminated upon consolidation.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accounting principles generally accepted in the United States of America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We base our estimates on historical experience and other relevant assumptions that we believe to be reasonable under the circumstances. Estimates are used in several areas including, but not limited to, estimates of progress to date for certain performance obligations and the transaction price for certain contracts with customers, share-based compensation, imputing interest for our revenue interest purchase agreement (the “Purchase Agreement”), the provision for income taxes, including related reserves, the analysis of goodwill impairment and the recoverability and impairment of long-lived assets, among others. These estimates generally involve complex issues and require judgments, involve the analysis of historical results and prediction of future trends, can require extended periods of time to resolve and are subject to change from period to period. Actual results may differ materially from management’s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our opinion, the accompanying unaudited condensed consolidated financial statements have been prepared in accordance with GAAP for interim financial information. These unaudited condensed consolidated financial statements include all adjustments necessary to fairly state our financial position and the results of our operations and cash flows for interim periods in accordance with GAAP. All such adjustments were of a normal, recurring nature. Interim-period results are not necessarily indicative of results of operations or cash flows for a full year or any subsequent interim period.</w:t>
      </w:r>
    </w:p>
    <w:p>
      <w:pPr>
        <w:spacing w:after="0" w:line="7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notes included in our Annual Report on Form 10-K for the year ended December 31, 2025 filed with the Securities and Exchange Commission (the “SEC”) on February 26,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We had a restricted cash balance of $2.7 million as of March 31, 2026 and December 31, 2025. Our restricted cash primarily relates to certain balances we are required to maintain under lease arrangements for certain of our facility leases.</w:t>
      </w: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all revenue-generating contracts, we perform the following steps to determine the amount of revenue to be recognized: (1) identify the contract or contracts; (2) determine whether the promised goods or services are performance obligations, including whether they are distinct in the context of the contract; (3) measure the transaction price, including the constraint on variable consideration; (4) allocate the transaction price to the performance obligations based on estimated selling prices; and (5) recognize revenue when (or as) we satisfy each performance obligation.</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derive revenue by providing diagnostic and research services in our Minimal Residual Disease (“MRD”) and Immune Medicine business areas. Our MRD revenue consists of revenue generated from (1) providing our clonoSEQ report to clinical customers; (2) providing MRD sample testing services to biopharmaceutical customers and certain academic institutions, including investigator-led clinical trials; and (3) providing our clonoSEQ report or results to certain international laboratory sites through technology transfers. Our Immune Medicine revenue consists of revenue generated from (1) providing sample testing services for our commercial research product, Adaptive Immunosequencing; (2) data licensing and target discovery services; and (3) for periods prior to October 1, 2025, our former collaboration with Genentech, Inc. (“Genentech”) under the worldwide collaboration and license agreement with Genentech (the “Genentech Agreement”).</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For agreements where we provide our clonoSEQ report to ordering physicians, we have identified one performance obligation: the delivery of a clonoSEQ report. We bill and receive payments for these transactions from commercial, government and medical institution payors. As payment from the respective payors may vary based on the various reimbursement rates and patient responsibilities, we consider the transaction price to be variable and record an estimate of the transaction price, subject to the constraint for variable consideration, as revenue at the time of delivery. The estimate of transaction price is based on historical and expected reimbursement rates with the various payors, which are monitored in subsequent periods and adjusted, as necessary, based on actual collection experience.</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Regarding our clonoSEQ coverage under Medicare, we bill an episode of treatment when we deliver the first eligible test report. This billing contemplates all necessary tests required during a patient’s treatment cycle, which is currently estimated at approximately four tests per patient, including the initial sequence identification test. Revenue recognition commences at the time the initial billable test report is delivered and is based upon cumulative tests delivered to date. We estimate the number of tests we expect to deliver over a patient’s treatment cycle based on historical testing frequencies for patients by indication. These estimates are subject to change as we develop more information about utilization over time. Any unrecognized revenue from the initial billable test is recorded as deferred revenue and is recognized either as we deliver our estimate of the remaining tests in a patient’s treatment cycle or when the likelihood becomes remote that a patient will receive additional testing. In certain cases, we continue to provide services and incur costs for patients who exceed our number of estimated tests.</w:t>
      </w:r>
    </w:p>
    <w:p>
      <w:pPr>
        <w:spacing w:after="0" w:line="84"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The contract transaction price for agreements we enter into with biopharmaceutical customers to further develop and commercialize their therapeutics may consist of a combination of non-refundable upfront fees, separately priced MRD testing fees and milestone fees earned upon our customers’ achievement of certain regulatory approvals. Depending on the contract, these agreements include single or multiple performance obligations. Such performance obligations include providing services to support our customers’ therapeutic development efforts, including regulatory support where our technology is intended to be utilized as part of our customers’ registrational trials, developing analytical plans for our data, participating on joint committees, assisting in completing a regulatory submission and providing MRD testing services related to customer-provided samples for our customers' regulatory submissions. Generally, the support services, excluding MRD testing services, are not distinct within the context of the contract and thus are accounted for as a single performance obligation. The transaction price allocated to the respective performance obligations is estimated using a standalone selling price for the estimated MRD testing services. When MRD sample testing services are separately priced customer options, we assess if a material right exists and, if not, the customer option to purchase additional MRD sample testing services is not considered part of the contract. We recognize revenue related to MRD testing services over time using an output method based on the proportion of sample results delivered relative to the total amount of sample results expected to be delivered, when expected to be a faithful depiction of progress. When an output method based on the proportion of sample results delivered is not expected to be a faithful depiction of progress, we utilize an input method using a cost-based model based on estimates of effort completed. Selecting the measure of progress and estimating progress to date requires significant judgment. Except for any non-refundable upfront fees, the other forms of compensation represent variable consideration. At contract inception, we fully constrain any consideration related to regulatory milestones, as the achievement of such milestones is subject to third-party regulatory approval and the customers’ own submission decision-making. Variable consideration related to regulatory milestones is estimated using the most likely amount method, where variable consideration is constrained until it is probable that a significant reversal of cumulative revenue will not occur. Milestone payments for regulatory approvals, which are not within our customers’ control, are not considered probable of being achieved until those approvals are received. Determining whether regulatory milestone payments are probable is an area that requires significant judgment. In making this assessment, we evaluate scientific, clinical, regulatory and other risks, as well as the level of effort and investment required to achieve the respective milestone.</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biopharmaceutical customers who utilize either our MRD or Adaptive Immunosequencing services, contracts typically include an amount billed in advance of services (“upfront”) and subsequent billings as sample results are delivered to the customer. Upfront amounts received are recorded as deferred revenue, which we recognize as revenue upon satisfaction of performance obligations. We have identified two typical performance obligations under the terms of our research service contracts: (1) the delivery of our MRD data or Adaptive Immunosequencing for customer provided samples; and (2) related data analysis. We recognize revenue for both identified performance obligations as sample results are delivered to the customer. In periods where our sample estimates are reduced or a customer project is cancelled and, in either case, we have remaining related deferred revenue, we recognize revenue using a cumulative catch-up approach based on the proportion of samples delivered to date relative to the total samples expected to be delivered.</w:t>
      </w:r>
    </w:p>
    <w:p>
      <w:pPr>
        <w:spacing w:after="0" w:line="40" w:lineRule="exact"/>
        <w:rPr>
          <w:sz w:val="20"/>
          <w:szCs w:val="20"/>
          <w:color w:val="auto"/>
        </w:rPr>
      </w:pPr>
    </w:p>
    <w:p>
      <w:pPr>
        <w:ind w:firstLine="509"/>
        <w:spacing w:after="0" w:line="231" w:lineRule="exact"/>
        <w:rPr>
          <w:sz w:val="20"/>
          <w:szCs w:val="20"/>
          <w:color w:val="auto"/>
        </w:rPr>
      </w:pPr>
      <w:r>
        <w:rPr>
          <w:rFonts w:ascii="Times New Roman" w:cs="Times New Roman" w:eastAsia="Times New Roman" w:hAnsi="Times New Roman"/>
          <w:sz w:val="18"/>
          <w:szCs w:val="18"/>
          <w:color w:val="auto"/>
        </w:rPr>
        <w:t xml:space="preserve">For our data licensing agreement, we </w:t>
      </w:r>
      <w:r>
        <w:rPr>
          <w:rFonts w:ascii="Times New Roman" w:cs="Times New Roman" w:eastAsia="Times New Roman" w:hAnsi="Times New Roman"/>
          <w:sz w:val="18"/>
          <w:szCs w:val="18"/>
          <w:color w:val="231F20"/>
        </w:rPr>
        <w:t>provide non</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exclusive licenses to specified T cell receptor (</w:t>
      </w:r>
      <w:r>
        <w:rPr>
          <w:rFonts w:ascii="Times New Roman" w:cs="Times New Roman" w:eastAsia="Times New Roman" w:hAnsi="Times New Roman"/>
          <w:sz w:val="18"/>
          <w:szCs w:val="18"/>
          <w:color w:val="auto"/>
        </w:rPr>
        <w:t>“TCR”</w:t>
      </w:r>
      <w:r>
        <w:rPr>
          <w:rFonts w:ascii="Times New Roman" w:cs="Times New Roman" w:eastAsia="Times New Roman" w:hAnsi="Times New Roman"/>
          <w:sz w:val="18"/>
          <w:szCs w:val="18"/>
          <w:color w:val="231F20"/>
        </w:rPr>
        <w:t>) dataset tranches. We identified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performance obligation: the delivery of the respective TCR dataset tranche. We recognize revenue upon delivery of such licensed data. We also have the right to receive additional consideration upon the renewal or exercise of additional TCR dataset tranche licenses. These do not represent material rights, and as such, will be accounted for when and if exercised.</w:t>
      </w:r>
    </w:p>
    <w:p>
      <w:pPr>
        <w:spacing w:after="0" w:line="92" w:lineRule="exact"/>
        <w:rPr>
          <w:sz w:val="20"/>
          <w:szCs w:val="20"/>
          <w:color w:val="auto"/>
        </w:rPr>
      </w:pPr>
    </w:p>
    <w:p>
      <w:pPr>
        <w:ind w:right="20" w:firstLine="509"/>
        <w:spacing w:after="0" w:line="219" w:lineRule="exact"/>
        <w:rPr>
          <w:sz w:val="20"/>
          <w:szCs w:val="20"/>
          <w:color w:val="auto"/>
        </w:rPr>
      </w:pPr>
      <w:r>
        <w:rPr>
          <w:rFonts w:ascii="Times New Roman" w:cs="Times New Roman" w:eastAsia="Times New Roman" w:hAnsi="Times New Roman"/>
          <w:sz w:val="18"/>
          <w:szCs w:val="18"/>
          <w:color w:val="231F20"/>
        </w:rPr>
        <w:t>For our target discovery agreement, we received an initial upfront payment and rights to additional consideration upon the delivery of completed disease-specific TCRs pursuant to a research plan. We identified two distinct performance obligations: (1) to provide Adaptive Immunosequencing services for customer provided specimens; and (2) the delivery of the disease-specific TCRs with the associated license rights. The consideration allocated to each of the respective performance obligations is recognized as revenue upon the delivery of the respective datasets. If the customer elects to further develop therapeutics, we may be eligible to receive additional development, commercial and sales milestone payments that could total up to $877.5 million. All such development, commercial and sales</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based milestone payments are fully constrained until the underlying triggering events occur. The customer is solely responsible for any subsequent development costs following the conclusion of the research plan.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(Subtopic 220-40)</w:t>
      </w:r>
      <w:r>
        <w:rPr>
          <w:rFonts w:ascii="Times New Roman" w:cs="Times New Roman" w:eastAsia="Times New Roman" w:hAnsi="Times New Roman"/>
          <w:sz w:val="18"/>
          <w:szCs w:val="18"/>
          <w:i w:val="1"/>
          <w:iCs w:val="1"/>
          <w:color w:val="auto"/>
        </w:rPr>
        <w:t>: Disaggregation of Income Statement Expenses</w:t>
      </w:r>
      <w:r>
        <w:rPr>
          <w:rFonts w:ascii="Times New Roman" w:cs="Times New Roman" w:eastAsia="Times New Roman" w:hAnsi="Times New Roman"/>
          <w:sz w:val="18"/>
          <w:szCs w:val="18"/>
          <w:color w:val="auto"/>
        </w:rPr>
        <w:t>, which intends to improve financial reporting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about specific expense categories. This guidance is effective for annual reporting periods beginning after December 15, 2026 and interim reporting periods beginning after December 15, 2027. Early adoption is permitted and the guidance is to be applied prospectively and may be applied retrospectively. We are currently evaluating the impact of this guidance on our consolidated financial statements and related disclosures.</w:t>
      </w:r>
    </w:p>
    <w:p>
      <w:pPr>
        <w:spacing w:after="0" w:line="289"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business area and type of arrangement, as we believe this best depicts how the nature, amount, timing and uncertainty of our revenue and cash flows are affected by economic factors.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for the periods presented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12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MRD revenue</w:t>
            </w:r>
          </w:p>
        </w:tc>
        <w:tc>
          <w:tcPr>
            <w:tcW w:w="25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352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58,093</w:t>
            </w:r>
          </w:p>
        </w:tc>
        <w:tc>
          <w:tcPr>
            <w:tcW w:w="12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39,221</w:t>
            </w:r>
          </w:p>
        </w:tc>
        <w:tc>
          <w:tcPr>
            <w:tcW w:w="100" w:type="dxa"/>
            <w:vAlign w:val="bottom"/>
          </w:tcPr>
          <w:p>
            <w:pPr>
              <w:spacing w:after="0"/>
              <w:rPr>
                <w:sz w:val="18"/>
                <w:szCs w:val="18"/>
                <w:color w:val="auto"/>
              </w:rPr>
            </w:pPr>
          </w:p>
        </w:tc>
      </w:tr>
      <w:tr>
        <w:trPr>
          <w:trHeight w:val="216"/>
        </w:trPr>
        <w:tc>
          <w:tcPr>
            <w:tcW w:w="5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Regulatory milestone revenue</w:t>
            </w:r>
          </w:p>
        </w:tc>
        <w:tc>
          <w:tcPr>
            <w:tcW w:w="25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MRD revenue</w:t>
            </w:r>
          </w:p>
        </w:tc>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67,093</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43,721</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Immune Medicine revenue</w:t>
            </w:r>
          </w:p>
        </w:tc>
        <w:tc>
          <w:tcPr>
            <w:tcW w:w="2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and licensing revenue</w:t>
            </w:r>
          </w:p>
        </w:tc>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18"/>
                <w:szCs w:val="18"/>
                <w:color w:val="auto"/>
              </w:rPr>
            </w:pPr>
          </w:p>
        </w:tc>
      </w:tr>
      <w:tr>
        <w:trPr>
          <w:trHeight w:val="216"/>
        </w:trPr>
        <w:tc>
          <w:tcPr>
            <w:tcW w:w="518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Collaboration revenue</w:t>
            </w:r>
            <w:r>
              <w:rPr>
                <w:rFonts w:ascii="Times New Roman" w:cs="Times New Roman" w:eastAsia="Times New Roman" w:hAnsi="Times New Roman"/>
                <w:sz w:val="24"/>
                <w:szCs w:val="24"/>
                <w:color w:val="auto"/>
                <w:vertAlign w:val="superscript"/>
              </w:rPr>
              <w:t>(1)</w:t>
            </w:r>
          </w:p>
        </w:tc>
        <w:tc>
          <w:tcPr>
            <w:tcW w:w="25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Immune Medicine revenue</w:t>
            </w:r>
          </w:p>
        </w:tc>
        <w:tc>
          <w:tcPr>
            <w:tcW w:w="25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tcPr>
          <w:p>
            <w:pPr>
              <w:spacing w:after="0"/>
              <w:rPr>
                <w:sz w:val="18"/>
                <w:szCs w:val="18"/>
                <w:color w:val="auto"/>
              </w:rPr>
            </w:pPr>
          </w:p>
        </w:tc>
      </w:tr>
      <w:tr>
        <w:trPr>
          <w:trHeight w:val="230"/>
        </w:trPr>
        <w:tc>
          <w:tcPr>
            <w:tcW w:w="5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5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128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100" w:type="dxa"/>
            <w:vAlign w:val="bottom"/>
            <w:shd w:val="clear" w:color="auto" w:fill="CFF0FC"/>
          </w:tcPr>
          <w:p>
            <w:pPr>
              <w:spacing w:after="0"/>
              <w:rPr>
                <w:sz w:val="19"/>
                <w:szCs w:val="19"/>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-873760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On August 13, 2025, the Genentech Agreement was terminated, with termination effective February 9, 2026.</w:t>
      </w:r>
    </w:p>
    <w:p>
      <w:pPr>
        <w:spacing w:after="0" w:line="90" w:lineRule="exact"/>
        <w:rPr>
          <w:sz w:val="20"/>
          <w:szCs w:val="20"/>
          <w:color w:val="auto"/>
        </w:rPr>
      </w:pPr>
    </w:p>
    <w:p>
      <w:pPr>
        <w:ind w:right="500" w:firstLine="509"/>
        <w:spacing w:after="0" w:line="312" w:lineRule="auto"/>
        <w:rPr>
          <w:sz w:val="20"/>
          <w:szCs w:val="20"/>
          <w:color w:val="auto"/>
        </w:rPr>
      </w:pPr>
      <w:r>
        <w:rPr>
          <w:rFonts w:ascii="Times New Roman" w:cs="Times New Roman" w:eastAsia="Times New Roman" w:hAnsi="Times New Roman"/>
          <w:sz w:val="17"/>
          <w:szCs w:val="17"/>
          <w:color w:val="auto"/>
        </w:rPr>
        <w:t>During the three months ended March 31, 2026 and 2025, we recognized $2.6 million and $2.0 million, respectively, in MRD service revenue related to Medicare reimbursements resulting from our determination that the likelihood of additional testing for specific patients was remote.</w:t>
      </w:r>
    </w:p>
    <w:p>
      <w:pPr>
        <w:spacing w:after="0" w:line="3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could receive up to an additional $386.0 million in milestone payments in future periods if certain regulatory approvals are obtained by our customers’ therapeutics in connection with MRD data generated from our MRD product.</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expect our current deferred revenue to be recognized as revenue within 12 months. We expect the majority of our non-current deferred revenue to be recognized as revenue over a period of approximately three years from March 31, 2026. This period of time represents an estimate of the ongoing sample testing for our customers' therapeutic development efforts.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deferred revenue during the three months ended March 31, 2026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balance at December 31, 2025</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46,200</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deferred revenue during the period</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(15,579)</w:t>
            </w:r>
          </w:p>
        </w:tc>
      </w:tr>
      <w:tr>
        <w:trPr>
          <w:trHeight w:val="209"/>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revenue balance at March 31, 2026</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50,204</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$8.2 million was recognized as revenue that was included in the deferred revenue balance at December 31, 2025.</w:t>
      </w:r>
    </w:p>
    <w:p>
      <w:pPr>
        <w:spacing w:after="0" w:line="266"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values of financial assets as of March 31, 2026 and December 31, 2025 that were measured at fair value on a recurring basis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8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38,145</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38,145</w:t>
            </w:r>
          </w:p>
        </w:tc>
        <w:tc>
          <w:tcPr>
            <w:tcW w:w="100" w:type="dxa"/>
            <w:vAlign w:val="bottom"/>
          </w:tcPr>
          <w:p>
            <w:pPr>
              <w:spacing w:after="0"/>
              <w:rPr>
                <w:sz w:val="18"/>
                <w:szCs w:val="18"/>
                <w:color w:val="auto"/>
              </w:rPr>
            </w:pPr>
          </w:p>
        </w:tc>
      </w:tr>
      <w:tr>
        <w:trPr>
          <w:trHeight w:val="216"/>
        </w:trPr>
        <w:tc>
          <w:tcPr>
            <w:tcW w:w="58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treasury and agency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122,069</w:t>
            </w:r>
          </w:p>
        </w:tc>
        <w:tc>
          <w:tcPr>
            <w:tcW w:w="100" w:type="dxa"/>
            <w:vAlign w:val="bottom"/>
          </w:tcPr>
          <w:p>
            <w:pPr>
              <w:spacing w:after="0"/>
              <w:rPr>
                <w:sz w:val="18"/>
                <w:szCs w:val="18"/>
                <w:color w:val="auto"/>
              </w:rPr>
            </w:pPr>
          </w:p>
        </w:tc>
      </w:tr>
      <w:tr>
        <w:trPr>
          <w:trHeight w:val="216"/>
        </w:trPr>
        <w:tc>
          <w:tcPr>
            <w:tcW w:w="58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100" w:type="dxa"/>
            <w:vAlign w:val="bottom"/>
            <w:shd w:val="clear" w:color="auto" w:fill="CFF0FC"/>
          </w:tcPr>
          <w:p>
            <w:pPr>
              <w:spacing w:after="0"/>
              <w:rPr>
                <w:sz w:val="18"/>
                <w:szCs w:val="18"/>
                <w:color w:val="auto"/>
              </w:rPr>
            </w:pPr>
          </w:p>
        </w:tc>
      </w:tr>
      <w:tr>
        <w:trPr>
          <w:trHeight w:val="21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38,145</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164,611</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202,756</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5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8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28,489</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28,489</w:t>
            </w:r>
          </w:p>
        </w:tc>
      </w:tr>
      <w:tr>
        <w:trPr>
          <w:trHeight w:val="216"/>
        </w:trPr>
        <w:tc>
          <w:tcPr>
            <w:tcW w:w="58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9,932</w:t>
            </w:r>
          </w:p>
        </w:tc>
        <w:tc>
          <w:tcPr>
            <w:tcW w:w="8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9,932</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treasury and agency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125,605</w:t>
            </w:r>
          </w:p>
        </w:tc>
        <w:tc>
          <w:tcPr>
            <w:tcW w:w="86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125,605</w:t>
            </w:r>
          </w:p>
        </w:tc>
      </w:tr>
      <w:tr>
        <w:trPr>
          <w:trHeight w:val="216"/>
        </w:trPr>
        <w:tc>
          <w:tcPr>
            <w:tcW w:w="58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34,182</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34,182</w:t>
            </w:r>
          </w:p>
        </w:tc>
      </w:tr>
      <w:tr>
        <w:trPr>
          <w:trHeight w:val="20"/>
        </w:trPr>
        <w:tc>
          <w:tcPr>
            <w:tcW w:w="58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28,489</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169,719</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198,208</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Level 1 securities include highly liquid money market funds, for which we measure the fair value based on quoted prices in active markets for identical assets or liabilities. Level 2 securities consist of U.S. government treasury and agency securities, corporate bonds and commercial paper, and are valued based on recent trades of securities in inactive markets or on quoted market prices of similar instruments and other significant inputs derived from or corroborated by observable market data. Of the March 31, 2026 Level 2 commercial paper balance, $5.0 million is recorded as cash and cash equivalents on our unaudited condensed consolidated balance sheet.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Available-for-sale investments consisted of the following as of March 31, 2026 and December 31, 2025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240" w:type="dxa"/>
            <w:vAlign w:val="bottom"/>
          </w:tcPr>
          <w:p>
            <w:pPr>
              <w:spacing w:after="0"/>
              <w:rPr>
                <w:sz w:val="10"/>
                <w:szCs w:val="10"/>
                <w:color w:val="auto"/>
              </w:rPr>
            </w:pPr>
          </w:p>
        </w:tc>
        <w:tc>
          <w:tcPr>
            <w:tcW w:w="13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64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107,138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14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140,762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ind w:right="52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140,753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Long-term marketable securities</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treasury and agency securities</w:t>
            </w:r>
          </w:p>
        </w:tc>
        <w:tc>
          <w:tcPr>
            <w:tcW w:w="14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64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18,908</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240" w:type="dxa"/>
            <w:vAlign w:val="bottom"/>
          </w:tcPr>
          <w:p>
            <w:pPr>
              <w:spacing w:after="0"/>
              <w:rPr>
                <w:sz w:val="10"/>
                <w:szCs w:val="10"/>
                <w:color w:val="auto"/>
              </w:rPr>
            </w:pPr>
          </w:p>
        </w:tc>
        <w:tc>
          <w:tcPr>
            <w:tcW w:w="13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64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114,138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32,177</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4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156,246</w:t>
            </w:r>
          </w:p>
        </w:tc>
        <w:tc>
          <w:tcPr>
            <w:tcW w:w="64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92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Long-term marketable securities</w:t>
            </w:r>
          </w:p>
        </w:tc>
        <w:tc>
          <w:tcPr>
            <w:tcW w:w="1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treasury and agency securities</w:t>
            </w:r>
          </w:p>
        </w:tc>
        <w:tc>
          <w:tcPr>
            <w:tcW w:w="14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64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-2339340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-2322830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-2485390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-2339340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-2322830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-2485390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-2339340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-2322830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-2485390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-2322830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-1756410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-1739265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-1756410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-1739265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-1756410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-1739265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-608330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-591185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-608330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-591185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-608330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-591185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All the U.S. government treasury and agency securities, corporate bonds and commercial paper designated as short-term marketable securities have an effective maturity date that is equal to or less than one year from the respective condensed consolidated balance sheet date. Those that are designated as long-term marketable securities have an effective maturity date that is more than one year from the respective condensed consolidated balance sheet date.</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Accrued interest receivable is excluded from the amortized cost and estimated fair value of our marketable securities. Accrued interest receivable of $1.6 million and $1.5 million was presented separately within the prepaid expenses and other current assets balance on the unaudited condensed consolidated balance sheet as of March 31, 2026 and on the condensed consolidated balance sheet as of December 31, 2025, respectively.</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unrealized holding losses and fair values for investments in an unrealized loss position, and the length of time individual securities have been in a continuous loss position, as of March 31, 2026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16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16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96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treasury and agency securities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63,477</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14,204</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83,956</w:t>
            </w:r>
          </w:p>
        </w:tc>
        <w:tc>
          <w:tcPr>
            <w:tcW w:w="24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We periodically review our available-for-sale securities to assess for credit impairment. Some of the factors considered in assessing impairment include the extent to which the fair value is less than the amortized cost basis, adverse conditions related to the security, an industry or geographic area, changes to security ratings or sector credit ratings and other relevant market data.</w:t>
      </w:r>
    </w:p>
    <w:p>
      <w:pPr>
        <w:spacing w:after="0" w:line="68"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we did not intend, nor were we more likely than not to be required, to sell our available-for-sale investments before the recovery of their amortized cost basis, which may be maturity. Based on our assessment, we concluded all impairment as of March 31, 2026 to be due to factors other than credit loss, such as changes in interest rates. A credit allowance was not recognized and the impairment of our available-for-sale securities was recorded in other comprehensive loss.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have operating lease agreements for laboratory, office and warehouse facilities in Seattle, Washington, South San Francisco, California and Bothell, Washington. As of March 31, 2026, we were not party to any finance leases.</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undiscounted operating lease cash flows to our operating lease liabilities, less current portion balance on the unaudited condensed consolidated balance sheet as of March 31, 2026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100" w:type="dxa"/>
            <w:vAlign w:val="bottom"/>
          </w:tcPr>
          <w:p>
            <w:pPr>
              <w:spacing w:after="0"/>
              <w:rPr>
                <w:sz w:val="18"/>
                <w:szCs w:val="18"/>
                <w:color w:val="auto"/>
              </w:rPr>
            </w:pP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91,294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(13,666)</w:t>
            </w:r>
          </w:p>
        </w:tc>
      </w:tr>
      <w:tr>
        <w:trPr>
          <w:trHeight w:val="209"/>
        </w:trPr>
        <w:tc>
          <w:tcPr>
            <w:tcW w:w="9240" w:type="dxa"/>
            <w:vAlign w:val="bottom"/>
            <w:tcBorders>
              <w:top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77,628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7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(8,513)</w:t>
            </w:r>
          </w:p>
        </w:tc>
      </w:tr>
      <w:tr>
        <w:trPr>
          <w:trHeight w:val="250"/>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cash paid for amounts included in the measurement of lease liabilities was $3.5 million and $3.0 million,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$2.1 million in letters of credit with one of our financial institutions in connection with certain of our leases.</w:t>
      </w:r>
    </w:p>
    <w:p>
      <w:pPr>
        <w:spacing w:after="0" w:line="329"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Interest Purchase Agreement</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September 2022, we entered into the Purchase Agreement with OrbiMed Royalty &amp; Credit Opportunities IV, LP (“OrbiMed”), an affiliate of OrbiMed Advisors LLC, as collateral agent and administrative agent for the purchasers party thereto (the “Purchasers”). Pursuant to the Purchase Agreement, we received $125.0 million from the Purchasers at closing, less certain transaction expenses.</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consideration for such payments, the Purchasers have a right to receive certain revenue interests (the “Revenue Interests”) from us based on a percentage of all GAAP revenue. Payments in respect of the Revenue Interests shall be made quarterly within 45 days following the end of each fiscal quarter (each, a “Revenue Interest Payment”).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accounted for the transaction as debt recorded at amortized cost using the effective interest rate method.</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To determine the amortization of the Purchase Agreement obligation, we are required to estimate the amount and timing of future Revenue Interest Payments based on our estimate of the timing and amount of future revenues and calculate an effective interest rate which will amortize the obligation to zero over the amortization period. The calculated effective interest rate as of March 31, 2026 was 8.9%.</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Purchase Agreement, we incurred debt issuance costs of $0.6 million. Debt issuance costs have been recorded to debt and are being amortized over the estimated term of the debt using the effective interest method.</w:t>
      </w:r>
    </w:p>
    <w:p>
      <w:pPr>
        <w:spacing w:after="0" w:line="5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assumptions used in determining the expected repayment term of the obligation and amortization period of the issuance costs requires that we make estimates that could impact the short- and long-term classification of these costs, as well as the period over which these costs will be amortized. We periodically assess the amount and timing of expected Revenue Interest Payments based on internal forecasts. To the extent such payments are greater or less than our initial estimates or the timing of such payments is materially different than our original estimates, we will prospectively adjust the amortization of the revenue interest liability and the issuance costs, as well as the effective interest rate.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revenue interest liability, net activity during the three months ended March 31, 2026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interest liability, net at December 31, 2025</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131,208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interest payable</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(3,544)</w:t>
            </w:r>
          </w:p>
        </w:tc>
      </w:tr>
      <w:tr>
        <w:trPr>
          <w:trHeight w:val="209"/>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 interest liability, net at March 31, 2026</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130,553</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Revenue interest payable of $3.5 million and $3.6 million was included within the accounts payable balance on the unaudited condensed consolidated balance sheet as of March 31, 2026 and on the condensed consolidated balance sheet as of December 31, 2025, respectively. The net of interest expense and revenue interest paid and payable is classified in the consolidated statements of cash flows as revenue interest purchase agreement interest.</w:t>
      </w:r>
    </w:p>
    <w:p>
      <w:pPr>
        <w:spacing w:after="0" w:line="284"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claims and assessments from time to time in the ordinary course of business. We will accrue a liability for such matters when it is probable that a liability has been incurred and the amount can be reasonably estimated. When only a range of possible loss can be established, the most probable amount in the range is accrued. If no amount within this range is a better estimate than any other amount within the range, the minimum amount in the range is accrued. We were not party to any material legal proceedings as of March 31,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 of varying scope and terms to vendors, lessors, customers and other parties with respect to certain matters including, but not limited to, losses arising out of breach of our agreements with them or from intellectual property infringement claims made by third parties. In addition, we have entered into indemnification agreements with members of our board of directors and certain of our executive officers that will require us to indemnify them against certain liabilities that may arise by reason of their status or service as directors or officers. The maximum potential amount of future payments that we could be required to make under these indemnification agreements is, in many cases, unlimited. We have not incurred any material costs as a result of such indemnifications and are not currently aware of any indemnification claims.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common stock has no preferences or privileges and is not redeemable. Holders of our common stock are entitled to one vote for each share of common stock held. The holders of record of outstanding shares of common stock shall be entitled to receive, when, as and if declared, out of funds legally available, such cash and other dividends as may be declared from time to time.</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2019 Equity Incentive Plan (the “2019 Plan”) provides for annual increases in the number of shares that may be issued under the 2019 Plan on January 1, 2020 and on each subsequent January 1, thereafter, by a number of shares equal to the lesser of (a) 5% of the number of shares of common stock issued and outstanding on the immediately preceding December 31, or (b) an amount determined by our board of directors.</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Furthermore, our Employee Stock Purchase Plan (the “ESPP”) provides for annual increases in the number of shares available for issuance under our ESPP on January 1, 2020 and on each January 1, thereafter, by a number of shares equal to the smallest of (a) 1% of the number of shares of common stock issued and outstanding on the immediately preceding December 31, or (b) an amount determined by our board of directors.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Effective January 1, 2026, our 2019 Plan reserve increased by 7,688,970 shares. Our board of directors determined not to increase the ESPP reserve in 2026.</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 of March 31, 2026, we had reserved shares of common stock for the following:</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9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issuable upon the exercise of outstanding stock options granted</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9,372,173</w:t>
            </w:r>
          </w:p>
        </w:tc>
        <w:tc>
          <w:tcPr>
            <w:tcW w:w="100" w:type="dxa"/>
            <w:vAlign w:val="bottom"/>
            <w:shd w:val="clear" w:color="auto" w:fill="CFF0FC"/>
          </w:tcPr>
          <w:p>
            <w:pPr>
              <w:spacing w:after="0"/>
              <w:rPr>
                <w:sz w:val="18"/>
                <w:szCs w:val="18"/>
                <w:color w:val="auto"/>
              </w:rPr>
            </w:pPr>
          </w:p>
        </w:tc>
      </w:tr>
      <w:tr>
        <w:trPr>
          <w:trHeight w:val="198"/>
        </w:trPr>
        <w:tc>
          <w:tcPr>
            <w:tcW w:w="9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issuable upon the vesting of outstanding restricted stock units granted and the maximum outstanding performance-</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based and market-based restricted stock units granted eligible to be earned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14,189,576</w:t>
            </w:r>
          </w:p>
        </w:tc>
        <w:tc>
          <w:tcPr>
            <w:tcW w:w="100" w:type="dxa"/>
            <w:vAlign w:val="bottom"/>
          </w:tcPr>
          <w:p>
            <w:pPr>
              <w:spacing w:after="0"/>
              <w:rPr>
                <w:sz w:val="20"/>
                <w:szCs w:val="20"/>
                <w:color w:val="auto"/>
              </w:rPr>
            </w:pP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future grant under the 2019 Equity Incentive Plan</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16,523,319</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grant under the Employee Stock Purchase Plan</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5,686,170</w:t>
            </w:r>
          </w:p>
        </w:tc>
        <w:tc>
          <w:tcPr>
            <w:tcW w:w="100" w:type="dxa"/>
            <w:vAlign w:val="bottom"/>
          </w:tcPr>
          <w:p>
            <w:pPr>
              <w:spacing w:after="0"/>
              <w:rPr>
                <w:sz w:val="18"/>
                <w:szCs w:val="18"/>
                <w:color w:val="auto"/>
              </w:rPr>
            </w:pPr>
          </w:p>
        </w:tc>
      </w:tr>
      <w:tr>
        <w:trPr>
          <w:trHeight w:val="249"/>
        </w:trPr>
        <w:tc>
          <w:tcPr>
            <w:tcW w:w="9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reserved for future issuance</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45,771,238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2009 Equity Incentive Plan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adopted an equity incentive plan in 2009 (the “2009 Plan”) that provided for the issuance of incentive and nonqualified common stock options and other share-based awards for employees, directors and consultants. Under the 2009 Plan, the exercise price for incentive and nonqualified stock options were not to be less than the fair market value of our common stock at the date of grant. Stock options granted under this plan expire no later than ten years from the grant date and vesting was established at the time of grant. Pursuant to the terms of the 2019 Plan, any shares subject to outstanding stock options originally granted under the 2009 Plan that terminate, expire or lapse for any reason without the delivery of shares to the holder thereof shall become available for issuance pursuant to awards granted under the 2019 Plan. While no shares are available for future grant under the 2009 Plan, it continues to govern outstanding equity awards granted thereunder.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Equity Incentive Plan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2019 Plan became effective immediately prior to the closing of our initial public offering in July 2019. The 2019 Plan provides for the issuance of awards in the form of stock options and other share-based awards for employees, directors and consultants. Under the 2019 Plan, the stock option exercise price per share shall not be less than the fair market value of a share of stock on the effective date of grant, as defined by the 2019 Plan, unless explicitly qualified under the provisions of Section 409A or Section 424(a) of the Internal Revenue Code of 1986. Additionally, unless otherwise specified, stock options granted under this plan expire no later than ten years from the grant date and vesting is established at the time of grant. Except for certain awards granted to non-employee directors, stock options and restricted stock units granted under the 2019 Plan generally vest over a four-year period, subject to continuous service through each applicable vesting date. As of March 31, 2026, we had 37,352,836 shares of common stock authorized for issuance under the 2019 Plan.</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shares available for grant during the three months ended March 31, 2026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 Available for Grant</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grant at December 31, 2025</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11,542,119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 Equity Incentive Plan reserve increase effective January 1, 2026</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7,688,970</w:t>
            </w:r>
          </w:p>
        </w:tc>
        <w:tc>
          <w:tcPr>
            <w:tcW w:w="100" w:type="dxa"/>
            <w:vAlign w:val="bottom"/>
          </w:tcPr>
          <w:p>
            <w:pPr>
              <w:spacing w:after="0"/>
              <w:rPr>
                <w:sz w:val="18"/>
                <w:szCs w:val="18"/>
                <w:color w:val="auto"/>
              </w:rPr>
            </w:pPr>
          </w:p>
        </w:tc>
      </w:tr>
      <w:tr>
        <w:trPr>
          <w:trHeight w:val="198"/>
        </w:trPr>
        <w:tc>
          <w:tcPr>
            <w:tcW w:w="9560" w:type="dxa"/>
            <w:vAlign w:val="bottom"/>
            <w:gridSpan w:val="6"/>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 options and restricted stock units granted and the maximum performance-based and market-based restricted stock</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units granted eligible to be earned</w:t>
            </w:r>
          </w:p>
        </w:tc>
        <w:tc>
          <w:tcPr>
            <w:tcW w:w="1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(3,249,296)</w:t>
            </w:r>
          </w:p>
        </w:tc>
      </w:tr>
      <w:tr>
        <w:trPr>
          <w:trHeight w:val="216"/>
        </w:trPr>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 options, restricted stock units and performance-based restricted stock units forfeited or expired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541,526</w:t>
            </w:r>
          </w:p>
        </w:tc>
        <w:tc>
          <w:tcPr>
            <w:tcW w:w="100" w:type="dxa"/>
            <w:vAlign w:val="bottom"/>
          </w:tcPr>
          <w:p>
            <w:pPr>
              <w:spacing w:after="0"/>
              <w:rPr>
                <w:sz w:val="18"/>
                <w:szCs w:val="18"/>
                <w:color w:val="auto"/>
              </w:rPr>
            </w:pPr>
          </w:p>
        </w:tc>
      </w:tr>
      <w:tr>
        <w:trPr>
          <w:trHeight w:val="25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grant at March 31, 2026</w:t>
            </w:r>
          </w:p>
        </w:tc>
        <w:tc>
          <w:tcPr>
            <w:tcW w:w="13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16,523,319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1"/>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956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Stock option activity under the 2009 Plan and 2019 Plan during the three months ended March 31, 2026 was as follows: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6"/>
        </w:trPr>
        <w:tc>
          <w:tcPr>
            <w:tcW w:w="656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0" w:type="dxa"/>
            <w:vAlign w:val="bottom"/>
          </w:tcPr>
          <w:p>
            <w:pPr>
              <w:spacing w:after="0"/>
              <w:rPr>
                <w:sz w:val="24"/>
                <w:szCs w:val="24"/>
                <w:color w:val="auto"/>
              </w:rPr>
            </w:pP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48"/>
        </w:trPr>
        <w:tc>
          <w:tcPr>
            <w:tcW w:w="656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Stock</w:t>
            </w:r>
          </w:p>
        </w:tc>
        <w:tc>
          <w:tcPr>
            <w:tcW w:w="140" w:type="dxa"/>
            <w:vAlign w:val="bottom"/>
          </w:tcPr>
          <w:p>
            <w:pPr>
              <w:spacing w:after="0"/>
              <w:rPr>
                <w:sz w:val="12"/>
                <w:szCs w:val="12"/>
                <w:color w:val="auto"/>
              </w:rPr>
            </w:pPr>
          </w:p>
        </w:tc>
        <w:tc>
          <w:tcPr>
            <w:tcW w:w="118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173"/>
        </w:trPr>
        <w:tc>
          <w:tcPr>
            <w:tcW w:w="656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18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 at December 31, 2025</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10,044,260</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 forfeited</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(1,109)</w:t>
            </w: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options expired</w:t>
            </w: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(15,192)</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(655,786)</w:t>
            </w: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 at March 31, 2026</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9,372,173</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Stock options vested and exercisable at March 31, 2026</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8,353,536</w:t>
            </w:r>
          </w:p>
        </w:tc>
        <w:tc>
          <w:tcPr>
            <w:tcW w:w="3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17.99</w:t>
            </w: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28,610</w:t>
            </w:r>
          </w:p>
        </w:tc>
        <w:tc>
          <w:tcPr>
            <w:tcW w:w="10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remaining contractual life for stock options outstanding as of March 31, 2026 was 4.8 years. The weighted-average remaining contractual life for stock options vested and exercisable as of March 31, 2026 was 4.4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unit activity under the 2019 Plan during the three months ended March 31, 2026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16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restricted stock units outstanding at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11,245,666</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(400,249)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(3,843,577)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restricted stock units outstanding at March 31, 2026</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9,043,632</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One of our executive officers was granted an award of 124,976 shares of performance-based restricted stock units in 2025 (which had a grant date fair value of $7.28 per share), which was subsequently forfeited during the three months ended March 31, 2026, given the related financial metric was not achieved.</w:t>
      </w:r>
    </w:p>
    <w:p>
      <w:pPr>
        <w:spacing w:after="0" w:line="68"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color w:val="auto"/>
        </w:rPr>
        <w:t>Separately, during the three months ended March 31, 2026, our executive officers were granted awards of performance-based restricted stock units. The total number of shares of common stock that may be earned under the respective awards range from zero shares to 603,746 shares and are calculated based on an MRD revenue compound annual growth rate metric, as measured over a three-year performance period. Except as expressly provided in the terms of each award</w:t>
      </w:r>
      <w:r>
        <w:rPr>
          <w:rFonts w:ascii="Arial" w:cs="Arial" w:eastAsia="Arial" w:hAnsi="Arial"/>
          <w:sz w:val="18"/>
          <w:szCs w:val="18"/>
          <w:color w:val="auto"/>
        </w:rPr>
        <w:t>’</w:t>
      </w:r>
      <w:r>
        <w:rPr>
          <w:rFonts w:ascii="Times New Roman" w:cs="Times New Roman" w:eastAsia="Times New Roman" w:hAnsi="Times New Roman"/>
          <w:sz w:val="18"/>
          <w:szCs w:val="18"/>
          <w:color w:val="auto"/>
        </w:rPr>
        <w:t>s agreement, vesting is subject to the respective grantee</w:t>
      </w:r>
      <w:r>
        <w:rPr>
          <w:rFonts w:ascii="Arial" w:cs="Arial" w:eastAsia="Arial" w:hAnsi="Arial"/>
          <w:sz w:val="18"/>
          <w:szCs w:val="18"/>
          <w:color w:val="auto"/>
        </w:rPr>
        <w:t>’</w:t>
      </w:r>
      <w:r>
        <w:rPr>
          <w:rFonts w:ascii="Times New Roman" w:cs="Times New Roman" w:eastAsia="Times New Roman" w:hAnsi="Times New Roman"/>
          <w:sz w:val="18"/>
          <w:szCs w:val="18"/>
          <w:color w:val="auto"/>
        </w:rPr>
        <w:t>s continuous service through the end of the three-year performance period.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Restricted Stock Units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Separate from the restricted stock units described above, our executive officers have been granted awards of market-based restricted stock units. The number of shares of common stock that may be earned under the respective awards range from zero shares to a defined maximum number of shares and are calculated based on our total shareholder return during a three-year performance period as measured against that of the group of companies comprising the S&amp;P Biotechnology Select Industry Index as of the grant date or other applicable date, subject to certain adjustments to such index group. Except as expressly provided in the terms of each award</w:t>
      </w:r>
      <w:r>
        <w:rPr>
          <w:rFonts w:ascii="Arial" w:cs="Arial" w:eastAsia="Arial" w:hAnsi="Arial"/>
          <w:sz w:val="18"/>
          <w:szCs w:val="18"/>
          <w:color w:val="auto"/>
        </w:rPr>
        <w:t>’</w:t>
      </w:r>
      <w:r>
        <w:rPr>
          <w:rFonts w:ascii="Times New Roman" w:cs="Times New Roman" w:eastAsia="Times New Roman" w:hAnsi="Times New Roman"/>
          <w:sz w:val="18"/>
          <w:szCs w:val="18"/>
          <w:color w:val="auto"/>
        </w:rPr>
        <w:t>s agreement, vesting is subject to the respective grantee</w:t>
      </w:r>
      <w:r>
        <w:rPr>
          <w:rFonts w:ascii="Arial" w:cs="Arial" w:eastAsia="Arial" w:hAnsi="Arial"/>
          <w:sz w:val="18"/>
          <w:szCs w:val="18"/>
          <w:color w:val="auto"/>
        </w:rPr>
        <w:t>’</w:t>
      </w:r>
      <w:r>
        <w:rPr>
          <w:rFonts w:ascii="Times New Roman" w:cs="Times New Roman" w:eastAsia="Times New Roman" w:hAnsi="Times New Roman"/>
          <w:sz w:val="18"/>
          <w:szCs w:val="18"/>
          <w:color w:val="auto"/>
        </w:rPr>
        <w:t>s continuous service through the end of the three-year performance period.</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Market-based restricted stock unit activity under the 2019 Plan during the three months ended March 31, 2026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 Market-Based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48"/>
        </w:trPr>
        <w:tc>
          <w:tcPr>
            <w:tcW w:w="7660" w:type="dxa"/>
            <w:vAlign w:val="bottom"/>
          </w:tcPr>
          <w:p>
            <w:pPr>
              <w:spacing w:after="0"/>
              <w:rPr>
                <w:sz w:val="12"/>
                <w:szCs w:val="12"/>
                <w:color w:val="auto"/>
              </w:rPr>
            </w:pPr>
          </w:p>
        </w:tc>
        <w:tc>
          <w:tcPr>
            <w:tcW w:w="1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766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 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100" w:type="dxa"/>
            <w:vAlign w:val="bottom"/>
          </w:tcPr>
          <w:p>
            <w:pPr>
              <w:spacing w:after="0"/>
              <w:rPr>
                <w:sz w:val="15"/>
                <w:szCs w:val="15"/>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maximum market-based restricted stock units outstanding at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5,356,880</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Maximum market-based restricted stock units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Market-based restricted stock units vested</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(1,418,440)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FF0FC"/>
          </w:tcPr>
          <w:p>
            <w:pPr>
              <w:spacing w:after="0"/>
              <w:rPr>
                <w:sz w:val="18"/>
                <w:szCs w:val="18"/>
                <w:color w:val="auto"/>
              </w:rPr>
            </w:pPr>
          </w:p>
        </w:tc>
      </w:tr>
      <w:tr>
        <w:trPr>
          <w:trHeight w:val="210"/>
        </w:trPr>
        <w:tc>
          <w:tcPr>
            <w:tcW w:w="7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Nonvested maximum market-based restricted stock units outstanding at March 31, 2026</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4,542,198</w:t>
            </w: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top w:val="single" w:sz="8" w:color="CFF0FC"/>
            </w:tcBorders>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Date Fair Value of Restricted Stock Units, Performance-Based Restricted Stock Units and Market-Based Restricted Stock Units Granted</w:t>
      </w:r>
    </w:p>
    <w:p>
      <w:pPr>
        <w:spacing w:after="0" w:line="121"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The grant date fair value of restricted stock units granted is based on the closing price of our common stock on the date of grant, or other relevant determination date, as reported on The Nasdaq Global Select Market. The weighted-average grant date fair value per share of restricted stock units granted during the three months ended March 31, 2026 and 2025 was $16.44 and $8.12,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weighted-average grant date fair value per share of the performance-based restricted stock units granted during the three months ended March 31, 2026 and 2025 was $16.44 and $7.28, respectively, and was based on the closing price of our common stock on the date of grant, as reported on The Nasdaq Global Select Market. Expense is recognized ratably over the requisite service period, at the estimated attainment level, only if achievement of the performance attainment level is deemed probable. Previously recognized compensation cost will be reversed to the extent a prior attainment level is no longer deemed probable or is deemed not met. Probability of achievement is assessed periodically. If a grantee ceases to provide continued service through the applicable vesting date for reasons other than those expressly provided in the terms of the respective award, compensation cost recognized for unvested shares will be reversed in the period in which service ceased.</w:t>
      </w:r>
    </w:p>
    <w:p>
      <w:pPr>
        <w:spacing w:after="0" w:line="8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weighted-average grant date fair value per share of the market-based restricted stock units granted during the three months ended March 31, 2026 and 2025 was $27.15 and $13.50, respectively, and was determined using a Monte Carlo valuation model, which uses assumptions such as volatility, risk-free interest rate and dividend estimated for the respective performance periods. Aggregate share-based compensation expense is calculated based on the target payout level of shares granted and is recognized on a straight-line basis over the respective grants' performance periods, which are also the requisite service periods. Attainment of each grant's respective market condition and the number of shares earned and vested does not impact the related share-based compensation expense recognized. Share-based compensation expense is reversed only if the respective grantee does not provide continuous service through the respective performance period for reasons other than those expressly provided in the terms of the respective award.</w:t>
      </w:r>
    </w:p>
    <w:p>
      <w:pPr>
        <w:spacing w:after="0" w:line="8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compensation cost related to stock options, restricted stock units, performance-based restricted stock units and market-based restricted stock units for the three months ended March 31, 2026 and 2025 are included on the unaudited condensed consolidated statements of operations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3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18"/>
                <w:szCs w:val="18"/>
                <w:color w:val="auto"/>
              </w:rPr>
            </w:pPr>
          </w:p>
        </w:tc>
      </w:tr>
      <w:tr>
        <w:trPr>
          <w:trHeight w:val="229"/>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3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shd w:val="clear" w:color="auto" w:fill="CFF0FC"/>
          </w:tcPr>
          <w:p>
            <w:pPr>
              <w:spacing w:after="0"/>
              <w:rPr>
                <w:sz w:val="19"/>
                <w:szCs w:val="19"/>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unrecognized share-based compensation expense and the remaining weighted-average recognition period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Unrecognized Share-</w:t>
            </w:r>
          </w:p>
        </w:tc>
        <w:tc>
          <w:tcPr>
            <w:tcW w:w="24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 Weighted-</w:t>
            </w:r>
          </w:p>
        </w:tc>
      </w:tr>
      <w:tr>
        <w:trPr>
          <w:trHeight w:val="149"/>
        </w:trPr>
        <w:tc>
          <w:tcPr>
            <w:tcW w:w="5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24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5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Expense</w:t>
            </w:r>
          </w:p>
        </w:tc>
        <w:tc>
          <w:tcPr>
            <w:tcW w:w="24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Recognition Period</w:t>
            </w:r>
          </w:p>
        </w:tc>
      </w:tr>
      <w:tr>
        <w:trPr>
          <w:trHeight w:val="173"/>
        </w:trPr>
        <w:tc>
          <w:tcPr>
            <w:tcW w:w="57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stock options</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performance-based restricted stock units</w:t>
            </w: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18"/>
                <w:szCs w:val="18"/>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Nonvested market-based restricted stock units</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Adaptive Biotechnologies Corporation Common Shareholders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our common shareholders for the three months ended March 31, 2026 and 2025 (in thousands, except share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Adaptive Biotechnologies Corporation</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(20,033)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(29,852)</w:t>
            </w:r>
          </w:p>
        </w:tc>
        <w:tc>
          <w:tcPr>
            <w:tcW w:w="0" w:type="dxa"/>
            <w:vAlign w:val="bottom"/>
          </w:tcPr>
          <w:p>
            <w:pPr>
              <w:spacing w:after="0"/>
              <w:rPr>
                <w:sz w:val="1"/>
                <w:szCs w:val="1"/>
                <w:color w:val="auto"/>
              </w:rPr>
            </w:pPr>
          </w:p>
        </w:tc>
      </w:tr>
      <w:tr>
        <w:trPr>
          <w:trHeight w:val="178"/>
        </w:trPr>
        <w:tc>
          <w:tcPr>
            <w:tcW w:w="75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Adaptive Biotechnologies</w:t>
            </w:r>
          </w:p>
        </w:tc>
        <w:tc>
          <w:tcPr>
            <w:tcW w:w="14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155,521,048</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149,195,028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Corporation common shareholders, basic and diluted</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Adaptive Biotechnologies Corporation common shareholders, basic</w:t>
            </w:r>
          </w:p>
        </w:tc>
        <w:tc>
          <w:tcPr>
            <w:tcW w:w="5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4"/>
        </w:trPr>
        <w:tc>
          <w:tcPr>
            <w:tcW w:w="75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500" w:type="dxa"/>
            <w:vAlign w:val="bottom"/>
            <w:gridSpan w:val="2"/>
            <w:vMerge w:val="continue"/>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480" w:type="dxa"/>
            <w:vAlign w:val="bottom"/>
            <w:gridSpan w:val="2"/>
            <w:vMerge w:val="continue"/>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58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-1344930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-1328420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231F20"/>
        </w:rPr>
        <w:t>Given the loss position for all periods presented, basic net loss per share attributable to our common shareholders is the same as diluted net loss per share attributable to our common shareholders, as the inclusion of all potential shares of common stock outstanding would have been anti-dilutive.</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number of weighted-average common stock equivalents excluded from the calculation of diluted net loss per share attributable to our common shareholders because of their anti-dilutive effect were 25.7 million and 26.9 million for the three months ended March 31, 2026 and 2025, respectively. These common stock equivalents are comprised of shares that may be issued under our stock option, restricted stock, performance-based restricted stock and market-based restricted stock programs.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There are no inter-segment revenues. See Note 3,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for more information about each segment</w:t>
      </w:r>
      <w:r>
        <w:rPr>
          <w:rFonts w:ascii="Arial" w:cs="Arial" w:eastAsia="Arial" w:hAnsi="Arial"/>
          <w:sz w:val="18"/>
          <w:szCs w:val="18"/>
          <w:color w:val="auto"/>
        </w:rPr>
        <w:t>’</w:t>
      </w:r>
      <w:r>
        <w:rPr>
          <w:rFonts w:ascii="Times New Roman" w:cs="Times New Roman" w:eastAsia="Times New Roman" w:hAnsi="Times New Roman"/>
          <w:sz w:val="18"/>
          <w:szCs w:val="18"/>
          <w:color w:val="auto"/>
        </w:rPr>
        <w:t>s revenue. Our chief operating decision maker (“CODM”) is not regularly provided and does not review assets to assess each segment</w:t>
      </w:r>
      <w:r>
        <w:rPr>
          <w:rFonts w:ascii="Arial" w:cs="Arial" w:eastAsia="Arial" w:hAnsi="Arial"/>
          <w:sz w:val="18"/>
          <w:szCs w:val="18"/>
          <w:color w:val="auto"/>
        </w:rPr>
        <w:t>’</w:t>
      </w:r>
      <w:r>
        <w:rPr>
          <w:rFonts w:ascii="Times New Roman" w:cs="Times New Roman" w:eastAsia="Times New Roman" w:hAnsi="Times New Roman"/>
          <w:sz w:val="18"/>
          <w:szCs w:val="18"/>
          <w:color w:val="auto"/>
        </w:rPr>
        <w:t>s performance, make strategic decisions or allocate resources. As such, assets for reportable segments are not disclosed.</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segment information, including significant segment expenses that are (or are easily computable from) information regularly provided to our CODM, for the three months ended March 31, 2026 and 2025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MRD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420"/>
              <w:spacing w:after="0" w:line="115" w:lineRule="exact"/>
              <w:rPr>
                <w:sz w:val="20"/>
                <w:szCs w:val="20"/>
                <w:color w:val="auto"/>
              </w:rPr>
            </w:pPr>
            <w:r>
              <w:rPr>
                <w:rFonts w:ascii="Times New Roman" w:cs="Times New Roman" w:eastAsia="Times New Roman" w:hAnsi="Times New Roman"/>
                <w:sz w:val="13"/>
                <w:szCs w:val="13"/>
                <w:b w:val="1"/>
                <w:bCs w:val="1"/>
                <w:color w:val="auto"/>
              </w:rPr>
              <w:t>Immune</w:t>
            </w:r>
          </w:p>
        </w:tc>
        <w:tc>
          <w:tcPr>
            <w:tcW w:w="200" w:type="dxa"/>
            <w:vAlign w:val="bottom"/>
          </w:tcPr>
          <w:p>
            <w:pPr>
              <w:spacing w:after="0"/>
              <w:rPr>
                <w:sz w:val="10"/>
                <w:szCs w:val="10"/>
                <w:color w:val="auto"/>
              </w:rPr>
            </w:pPr>
          </w:p>
        </w:tc>
        <w:tc>
          <w:tcPr>
            <w:tcW w:w="7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MRD</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3"/>
                <w:szCs w:val="13"/>
                <w:b w:val="1"/>
                <w:bCs w:val="1"/>
                <w:color w:val="auto"/>
              </w:rPr>
              <w:t>Immune</w:t>
            </w:r>
          </w:p>
        </w:tc>
        <w:tc>
          <w:tcPr>
            <w:tcW w:w="200" w:type="dxa"/>
            <w:vAlign w:val="bottom"/>
          </w:tcPr>
          <w:p>
            <w:pPr>
              <w:spacing w:after="0"/>
              <w:rPr>
                <w:sz w:val="10"/>
                <w:szCs w:val="10"/>
                <w:color w:val="auto"/>
              </w:rPr>
            </w:pPr>
          </w:p>
        </w:tc>
        <w:tc>
          <w:tcPr>
            <w:tcW w:w="7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Medicine</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line="175" w:lineRule="exact"/>
              <w:rPr>
                <w:sz w:val="20"/>
                <w:szCs w:val="20"/>
                <w:color w:val="auto"/>
              </w:rPr>
            </w:pPr>
            <w:r>
              <w:rPr>
                <w:rFonts w:ascii="Times New Roman" w:cs="Times New Roman" w:eastAsia="Times New Roman" w:hAnsi="Times New Roman"/>
                <w:sz w:val="14"/>
                <w:szCs w:val="14"/>
                <w:b w:val="1"/>
                <w:bCs w:val="1"/>
                <w:color w:val="auto"/>
                <w:w w:val="97"/>
              </w:rPr>
              <w:t>Medicine</w:t>
            </w:r>
            <w:r>
              <w:rPr>
                <w:rFonts w:ascii="Times New Roman" w:cs="Times New Roman" w:eastAsia="Times New Roman" w:hAnsi="Times New Roman"/>
                <w:sz w:val="19"/>
                <w:szCs w:val="19"/>
                <w:b w:val="1"/>
                <w:bCs w:val="1"/>
                <w:color w:val="auto"/>
                <w:w w:val="97"/>
                <w:vertAlign w:val="superscript"/>
              </w:rPr>
              <w:t>(1)</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67,093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 back:</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280" w:type="dxa"/>
            <w:vAlign w:val="bottom"/>
            <w:shd w:val="clear" w:color="auto" w:fill="CFF0FC"/>
          </w:tcPr>
          <w:p>
            <w:pPr>
              <w:ind w:left="80"/>
              <w:spacing w:after="0" w:line="177" w:lineRule="exact"/>
              <w:rPr>
                <w:sz w:val="20"/>
                <w:szCs w:val="20"/>
                <w:color w:val="auto"/>
              </w:rPr>
            </w:pPr>
            <w:r>
              <w:rPr>
                <w:rFonts w:ascii="Times New Roman" w:cs="Times New Roman" w:eastAsia="Times New Roman" w:hAnsi="Times New Roman"/>
                <w:sz w:val="18"/>
                <w:szCs w:val="18"/>
                <w:color w:val="auto"/>
              </w:rPr>
              <w:t>Items to reconcile net income or net loss to Adjusted</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FF0FC"/>
            </w:tcBorders>
            <w:shd w:val="clear" w:color="auto" w:fill="CFF0FC"/>
          </w:tcPr>
          <w:p>
            <w:pPr>
              <w:ind w:left="80"/>
              <w:spacing w:after="0" w:line="241"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4"/>
                <w:szCs w:val="24"/>
                <w:color w:val="auto"/>
                <w:vertAlign w:val="superscript"/>
              </w:rPr>
              <w:t>(3)</w:t>
            </w: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(10,360)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(9,217)</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Items to reconcile to consolidated net loss:</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4"/>
                <w:szCs w:val="24"/>
                <w:color w:val="auto"/>
                <w:vertAlign w:val="superscript"/>
              </w:rPr>
              <w:t>(4)</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(9,654)</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Restructuring expense</w:t>
            </w:r>
            <w:r>
              <w:rPr>
                <w:rFonts w:ascii="Times New Roman" w:cs="Times New Roman" w:eastAsia="Times New Roman" w:hAnsi="Times New Roman"/>
                <w:sz w:val="24"/>
                <w:szCs w:val="24"/>
                <w:color w:val="auto"/>
                <w:vertAlign w:val="superscript"/>
              </w:rPr>
              <w:t>(5)</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Impairment of long-lived assets</w:t>
            </w:r>
            <w:r>
              <w:rPr>
                <w:rFonts w:ascii="Times New Roman" w:cs="Times New Roman" w:eastAsia="Times New Roman" w:hAnsi="Times New Roman"/>
                <w:sz w:val="24"/>
                <w:szCs w:val="24"/>
                <w:color w:val="auto"/>
                <w:vertAlign w:val="superscript"/>
              </w:rPr>
              <w:t>(5)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(3,386)</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unallocated items</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(7,448)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(20,015)</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(29,830)</w:t>
            </w:r>
          </w:p>
        </w:tc>
        <w:tc>
          <w:tcPr>
            <w:tcW w:w="0" w:type="dxa"/>
            <w:vAlign w:val="bottom"/>
          </w:tcPr>
          <w:p>
            <w:pPr>
              <w:spacing w:after="0"/>
              <w:rPr>
                <w:sz w:val="1"/>
                <w:szCs w:val="1"/>
                <w:color w:val="auto"/>
              </w:rPr>
            </w:pPr>
          </w:p>
        </w:tc>
      </w:tr>
      <w:tr>
        <w:trPr>
          <w:trHeight w:val="215"/>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*Non-significant segment expenses for Immune Medicine.</w:t>
            </w:r>
          </w:p>
        </w:tc>
        <w:tc>
          <w:tcPr>
            <w:tcW w:w="20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7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-1288415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-1288415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-1288415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-1288415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-1288415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-173990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-156845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8" w:lineRule="exact"/>
        <w:rPr>
          <w:sz w:val="20"/>
          <w:szCs w:val="20"/>
          <w:color w:val="auto"/>
        </w:rPr>
      </w:pPr>
    </w:p>
    <w:p>
      <w:pPr>
        <w:ind w:right="440" w:firstLine="8"/>
        <w:spacing w:after="0"/>
        <w:tabs>
          <w:tab w:leader="none" w:pos="17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231F20"/>
        </w:rPr>
        <w:t>Costs related to Digital Biotechnologies, Inc. are no longer included as Immune Medicine costs and have been reclassified to the “other unallocated items” total.</w:t>
      </w:r>
    </w:p>
    <w:p>
      <w:pPr>
        <w:spacing w:after="0" w:line="220" w:lineRule="exact"/>
        <w:rPr>
          <w:rFonts w:ascii="Times New Roman" w:cs="Times New Roman" w:eastAsia="Times New Roman" w:hAnsi="Times New Roman"/>
          <w:sz w:val="20"/>
          <w:szCs w:val="20"/>
          <w:color w:val="auto"/>
          <w:vertAlign w:val="superscript"/>
        </w:rPr>
      </w:pPr>
    </w:p>
    <w:p>
      <w:pPr>
        <w:ind w:left="180" w:hanging="172"/>
        <w:spacing w:after="0" w:line="217"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Immune Medicine segment, includes all Immune Medicine operating expenses, other than research and development expenses.</w:t>
      </w:r>
    </w:p>
    <w:p>
      <w:pPr>
        <w:spacing w:after="0" w:line="15" w:lineRule="exact"/>
        <w:rPr>
          <w:rFonts w:ascii="Times New Roman" w:cs="Times New Roman" w:eastAsia="Times New Roman" w:hAnsi="Times New Roman"/>
          <w:sz w:val="22"/>
          <w:szCs w:val="22"/>
          <w:color w:val="auto"/>
          <w:vertAlign w:val="superscript"/>
        </w:rPr>
      </w:pPr>
    </w:p>
    <w:p>
      <w:pPr>
        <w:ind w:right="120" w:firstLine="8"/>
        <w:spacing w:after="0" w:line="256" w:lineRule="auto"/>
        <w:tabs>
          <w:tab w:leader="none" w:pos="17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Adjusted EBITDA is a non-GAAP financial measure. See “Management’s Discussion and Analysis of Financial Condition and Results of Operations— Adjusted EBITDA” for an explanation of how it is calculated and used by management.</w:t>
      </w:r>
    </w:p>
    <w:p>
      <w:pPr>
        <w:spacing w:after="0" w:line="1" w:lineRule="exact"/>
        <w:rPr>
          <w:rFonts w:ascii="Times New Roman" w:cs="Times New Roman" w:eastAsia="Times New Roman" w:hAnsi="Times New Roman"/>
          <w:sz w:val="20"/>
          <w:szCs w:val="20"/>
          <w:color w:val="auto"/>
          <w:vertAlign w:val="superscript"/>
        </w:rPr>
      </w:pPr>
    </w:p>
    <w:p>
      <w:pPr>
        <w:ind w:right="1000" w:firstLine="8"/>
        <w:spacing w:after="0"/>
        <w:tabs>
          <w:tab w:leader="none" w:pos="17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Represents share-based compensation expense related to various awards. See Note 11, </w:t>
      </w:r>
      <w:r>
        <w:rPr>
          <w:rFonts w:ascii="Times New Roman" w:cs="Times New Roman" w:eastAsia="Times New Roman" w:hAnsi="Times New Roman"/>
          <w:sz w:val="15"/>
          <w:szCs w:val="15"/>
          <w:i w:val="1"/>
          <w:iCs w:val="1"/>
          <w:color w:val="auto"/>
        </w:rPr>
        <w:t>Equity Incentive Plans</w:t>
      </w:r>
      <w:r>
        <w:rPr>
          <w:rFonts w:ascii="Times New Roman" w:cs="Times New Roman" w:eastAsia="Times New Roman" w:hAnsi="Times New Roman"/>
          <w:sz w:val="15"/>
          <w:szCs w:val="15"/>
          <w:color w:val="auto"/>
        </w:rPr>
        <w:t xml:space="preserve"> for details on our share-based compensation expense.</w:t>
      </w:r>
    </w:p>
    <w:p>
      <w:pPr>
        <w:spacing w:after="0" w:line="215" w:lineRule="exact"/>
        <w:rPr>
          <w:rFonts w:ascii="Times New Roman" w:cs="Times New Roman" w:eastAsia="Times New Roman" w:hAnsi="Times New Roman"/>
          <w:sz w:val="20"/>
          <w:szCs w:val="20"/>
          <w:color w:val="auto"/>
          <w:vertAlign w:val="superscript"/>
        </w:rPr>
      </w:pPr>
    </w:p>
    <w:p>
      <w:pPr>
        <w:ind w:left="180" w:hanging="172"/>
        <w:spacing w:after="0" w:line="217"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expenses recognized in conjunction with a restructuring that primarily impacted research and development activities.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and the other financial information appearing elsewhere in this report, as well as the other financial information we file with the SEC from time to time. Some of the information contained in this discussion and analysis or set forth elsewhere in this report, including information with respect to our plans and strategy for our business and related financing, includes forward-looking statements that involve risks and uncertainties relating to our future plans, objectives, expectations, intentions and financial performance and the assumptions that underlie these statements.</w:t>
      </w:r>
    </w:p>
    <w:p>
      <w:pPr>
        <w:spacing w:after="0" w:line="74"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advancing the field of immune medicine by harnessing the inherent biology of the adaptive immune system to transform the diagnosis and treatment of disease. We believe the adaptive immune system is nature’s most finely tuned diagnostic and therapeutic for most diseases, but the inability to decode it has prevented the medical community from fully leveraging its capabilities. Our immune medicine platform applies our proprietary technologies to read the diverse genetic code of a patient’s immune system and understand precisely how the immune system detects and treats disease in that patient. We capture these insights in our dynamic clinical immunomics database and related antigen annotations, which are underpinned by computational biology and machine learning, and use them to develop and commercialize clinical products and services that can be tailored to the needs of individual patients. Our existing and future commercial products and services are aligned to two business areas which we refer to as MRD and Immune Medicine.</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current product and service offerings in MRD related to the MRD market are our clonoSEQ clinical diagnostic test, offered to clinicians, and our clonoSEQ or MRD assay, offered to biopharmaceutical partners to advance drug development efforts. Our first clinical diagnostic product, clonoSEQ, is the first test authorized by the Food and Drug Administration for the detection and monitoring of MRD in patients with multiple myeloma, B cell acute lymphoblastic leukemia and chronic lymphocytic leukemia, and is also available as a CLIA-validated laboratory developed test for patients with other lymphoid cancers, including diffuse large B cell lymphoma and mantle cell lymphoma (“MCL”). In the fourth quarter of 2024, we obtained Medicare coverage for MCL and initiated promotional efforts in MCL. We also obtained a new Medicare Clinical Laboratory Fee Schedule rate of $2,007 per test for clonoSEQ and MolDX separately updated the clonoSEQ episode pricing to $8,029 for all covered indications. This represented a 17% increase from the previous episode price. In April 2025, Palmetto GBA expanded coverage of clonoSEQ to include single time point testing to monitor for recurrence in patients with a history of MCL. This expanded coverage is in addition to the existing Medicare episode payment structure for clonoSEQ. With the use of clonoSEQ, we are transforming how lymphoid cancers are treated by working with providers, pharmaceutical partners and payors. In an effort to enable easier test ordering, we have integrated our clonoSEQ test into electronic medical record systems, including Epic System Corporation</w:t>
      </w:r>
      <w:r>
        <w:rPr>
          <w:rFonts w:ascii="Arial" w:cs="Arial" w:eastAsia="Arial" w:hAnsi="Arial"/>
          <w:sz w:val="18"/>
          <w:szCs w:val="18"/>
          <w:color w:val="auto"/>
        </w:rPr>
        <w:t>’</w:t>
      </w:r>
      <w:r>
        <w:rPr>
          <w:rFonts w:ascii="Times New Roman" w:cs="Times New Roman" w:eastAsia="Times New Roman" w:hAnsi="Times New Roman"/>
          <w:sz w:val="18"/>
          <w:szCs w:val="18"/>
          <w:color w:val="auto"/>
        </w:rPr>
        <w:t>s Aura and Flatiron Health, Inc.</w:t>
      </w:r>
      <w:r>
        <w:rPr>
          <w:rFonts w:ascii="Arial" w:cs="Arial" w:eastAsia="Arial" w:hAnsi="Arial"/>
          <w:sz w:val="18"/>
          <w:szCs w:val="18"/>
          <w:color w:val="auto"/>
        </w:rPr>
        <w:t>’</w:t>
      </w:r>
      <w:r>
        <w:rPr>
          <w:rFonts w:ascii="Times New Roman" w:cs="Times New Roman" w:eastAsia="Times New Roman" w:hAnsi="Times New Roman"/>
          <w:sz w:val="18"/>
          <w:szCs w:val="18"/>
          <w:color w:val="auto"/>
        </w:rPr>
        <w:t>s OncoEMR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of numerous accounts.</w:t>
      </w:r>
    </w:p>
    <w:p>
      <w:pPr>
        <w:spacing w:after="0" w:line="11"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color w:val="auto"/>
        </w:rPr>
        <w:t>Immune Medicine leverages our proprietary ability to sequence, map, pair and characterize TCRs and B cell receptors at scale to drive opportunities in cancer and autoimmune disorders. Our capabilities enable us to offer an expanding suite of solutions including: immune receptor sequencing, licensing of our proprietary data, TCR-antigen prediction models and our target discovery capabilities. We are applying artificial intelligence and machine learning models to map at scale TCR sequences to the diseases they bind to enable commercial offerings and our own product research initiatives</w:t>
      </w:r>
      <w:r>
        <w:rPr>
          <w:rFonts w:ascii="Arial" w:cs="Arial" w:eastAsia="Arial" w:hAnsi="Arial"/>
          <w:sz w:val="18"/>
          <w:szCs w:val="18"/>
          <w:color w:val="auto"/>
        </w:rPr>
        <w:t>.</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recognized revenue of $70.9 million and $52.4 million for the three months ended March 31, 2026 and 2025, respectively. Net loss attributable to Adaptive Biotechnologies Corporation was $20.0 million and $29.9 million for the three months ended March 31, 2026 and 2025, respectively. We have funded our operations to date principally from the sale of convertible preferred stock and common stock, including the sale of common stock in our initial public offering and follow-on offering, revenue and the proceeds received from the revenue interest purchase agreement we entered into in September 2022 (the “Purchase Agreement”). As of March 31, 2026 and December 31, 2025, we had cash, cash equivalents and marketable securities of $237.2 million and $240.2 million, respectively. These balances include $15.3 million and $13.1 million of cash and cash equivalents held by Digital Biotechnologies, Inc., respectively.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derive revenue by providing diagnostic and research services in our MRD and Immune Medicine business areas. Our MRD revenue consists of revenue generated from (1) providing our clonoSEQ report to clinical customers; (2) providing MRD sample testing services to biopharmaceutical customers and certain academic institutions, including investigator-led clinical trials; and (3) providing our clonoSEQ report or results to certain international laboratory sites through technology transfers. We disclose our clonoSEQ test volume, which includes the number of clonoSEQ reports and results we have provided to ordering physicians in the U.S. and international technology transfer sites. These volumes do not include sample results from our biopharmaceutical customers or academic institutions utilizing our MRD services. Our Immune Medicine revenue consists of revenue generated from</w:t>
      </w:r>
    </w:p>
    <w:p>
      <w:pPr>
        <w:spacing w:after="0" w:line="5" w:lineRule="exact"/>
        <w:rPr>
          <w:sz w:val="20"/>
          <w:szCs w:val="20"/>
          <w:color w:val="auto"/>
        </w:rPr>
      </w:pPr>
    </w:p>
    <w:p>
      <w:pPr>
        <w:jc w:val="both"/>
        <w:ind w:right="140" w:firstLine="8"/>
        <w:spacing w:after="0" w:line="255"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sample testing services for our commercial research product, Adaptive Immunosequencing; (2) data licensing and target discovery services; and (3) for periods prior to October 1, 2025, our former collaboration with Genentech, Inc. (“Genentech”) under the worldwide collaboration and license agreement with Genentech (the “Genentech Agreement”).</w:t>
      </w:r>
    </w:p>
    <w:p>
      <w:pPr>
        <w:spacing w:after="0" w:line="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our clinical customers, we primarily derive revenue from providing our clonoSEQ report to ordering physicians. We bill commercial, government and medical institution payors based on reports delivered to ordering physicians. Amounts paid for clonoSEQ by commercial, government and medical institution payors vary based on respective reimbursement rates and patient responsibilities, which may differ from our targeted list price. We recognize clinical revenue by evaluating customer payment history, contracted reimbursement rates, if applicable, and other adjustments to estimate the amount of revenue that is collectible.</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our clonoSEQ coverage under Medicare, we bill an episode of treatment when we deliver the first eligible test report. This billing contemplates all necessary tests required during a patient’s treatment cycle, which is currently estimated at approximately four tests per patient, including the initial sequence identification test. Revenue recognition commences at the time the initial billable test report is delivered and is based upon cumulative tests delivered to date. Any unrecognized revenue from the initial billable test is recorded as deferred revenue and recognized either as we deliver our estimate of the remaining tests in a patient’s treatment cycle or when the likelihood becomes remote that a patient will receive additional testing. In certain cases, we continue to provide services and incur costs for patients who exceed our number of estimated tests.</w:t>
      </w:r>
    </w:p>
    <w:p>
      <w:pPr>
        <w:spacing w:after="0" w:line="79"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For our research customers, which include biopharmaceutical customers and academic institutions for both our MRD and Adaptive Immunosequencing services, delivery of the respective test results may include some level of professional support and analysis. Terms with biopharmaceutical customers generally include non-refundable payments made in advance of services (“upfront payments”), which we record as deferred revenue. For all research customers, we recognize revenue as we deliver sequencing results. From time to time, we offer discounts in order to gain rights and access to certain datasets. Revenue is recognized net of these discounts and costs associated with these services are reflected in cost of revenue. In periods where our sample estimates are reduced or a customer project is cancelled and, in either case, we have remaining related deferred revenue, we recognize revenue using a cumulative catch-up approach based on the proportion of samples delivered to date relative to the total samples expected to be delivered. Certain of our MRD revenue arrangements with biopharmaceutical customers include cash consideration from the achievement of regulatory milestones of the respective biopharmaceutical customers’ therapeutics. Such revenue is constrained from recognition until it becomes probable that such milestone will be achieved.</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Under certain agreements with our biopharmaceutical customers who seek access to our platform to support their therapeutic development activities, revenues are generated from research and development support services that we provide or have developed. These agreements have included non-refundable upfront payments. Revenue recognized from these activities include revenue recognized from the former Genentech Agreement and a data licensing agreement.</w:t>
      </w:r>
    </w:p>
    <w:p>
      <w:pPr>
        <w:spacing w:after="0" w:line="31" w:lineRule="exact"/>
        <w:rPr>
          <w:sz w:val="20"/>
          <w:szCs w:val="20"/>
          <w:color w:val="auto"/>
        </w:rPr>
      </w:pPr>
    </w:p>
    <w:p>
      <w:pPr>
        <w:ind w:right="100" w:firstLine="509"/>
        <w:spacing w:after="0" w:line="231" w:lineRule="exact"/>
        <w:rPr>
          <w:sz w:val="20"/>
          <w:szCs w:val="20"/>
          <w:color w:val="auto"/>
        </w:rPr>
      </w:pPr>
      <w:r>
        <w:rPr>
          <w:rFonts w:ascii="Times New Roman" w:cs="Times New Roman" w:eastAsia="Times New Roman" w:hAnsi="Times New Roman"/>
          <w:sz w:val="18"/>
          <w:szCs w:val="18"/>
          <w:color w:val="auto"/>
        </w:rPr>
        <w:t>For our data licensing agreement, we provide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licenses to specified TCR dataset tranches. We identified one performance obligation: the delivery of the respective TCR dataset tranche. We recognize revenue upon delivery of such licensed data. We also have the right to receive additional consideration upon the renewal or exercise of additional TCR dataset tranche licenses. These do not represent material rights, and as such, will be accounted for when and if exercised.</w:t>
      </w:r>
    </w:p>
    <w:p>
      <w:pPr>
        <w:spacing w:after="0" w:line="92"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For our target discovery agreement, we received an initial upfront payment and rights to additional consideration upon the delivery of completed disease-specific TCRs pursuant to a research plan. We identified two distinct performance obligations: (1) to provide Adaptive Immunosequencing services for customer provided specimens; and (2) the delivery of the disease-specific TCRs with the associated license rights. The consideration allocated to each of the respective performance obligations is recognized as revenue upon the delivery of the respective datasets. If the customer elects to further develop therapeutics, we may be eligible to receive additional development, commercial and sales milestone payments that could total up to $877.5 million. All such development, commercial and 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milestone payments are fully constrained until the underlying triggering events occur. The customer is solely responsible for any subsequent development costs following the conclusion of the research plan.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24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expect our MRD revenue to increase in both the short term and long term as we continue to increase our MRD clinical testing volume through enhanced penetration in our existing covered patient populations, expand into new patient populations and optimize payor coverage. Our MRD revenue may fluctuate period to period due to the uncertain timing of receipt of our biopharmaceutical customer samples, which may cause uncertainty in the delivery of our products and services, the recognition of milestones related to regulatory approvals of our biopharmaceutical customers’ therapeutics and changes in estimates of our clinical revenue reimbursement rates.</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expect our Immune Medicine revenue to increase in the short term. Our Immune Medicine revenue may fluctuate from period to period due to the timing of receipt of customer samples from our biopharmaceutical customers and the potential recognition of milestones under our target discovery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Cost of revenue includes the cost of materials, personnel-related expenses (including salaries, benefits and share-based compensation), shipping and handling expenses, equipment costs, allocated facility costs associated with processing samples and professional support costs related to our service revenue activities. Allocated facility costs include depreciation of laboratory equipment, as well as allocated facility occupancy and information technology costs. Costs associated with processing samples are recorded as expense, regardless of the timing of revenue recognition. As such, cost of revenue and related volume does not always trend in the same direction as revenue recognition and related volume. Additionally, costs to support the Genentech Agreement were a component of our research and development expenses.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cost of revenue to moderately increase in the short term and to increase in absolute dollars in the long term as we grow our sample testing volume, but the cost per sample to decrease over the long term due to the efficiencies we may gain as assay volume increases from improved utilization of our laboratory capacity, automation and other value engineering initiatives. If our sample volume throughput is reduced, cost of revenue as a percentage of total revenue may be adversely impacted due to fixed overhead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laboratory materials costs, personnel-related expenses (including salaries, benefits and share-based compensation), equipment costs, allocated facility and information technology costs and contract service expenses. Research and development activities support further development and refinement of existing assays and products, discovery of new technologies and investments in our immune medicine platform. We also include in research and development expenses the costs associated with software development of applications to support future commercial opportunities, as well as development activities to support laboratory scaling and workflow. We are currently conducting research and development activities for several products and services and we typically use our laboratory materials, personnel, facilities, information technology and other development resources across multiple development programs. Additionally, certain of these research and development activities benefit more than one of our product opportunities.</w:t>
      </w:r>
    </w:p>
    <w:p>
      <w:pPr>
        <w:spacing w:after="0" w:line="84"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costs to support the Genentech Agreement were a component of our research and development expenses. Additionally, a component of our research and development expenses are costs supporting clinical and analytical validations to obtain regulatory approval for future clinical products and services. Some of these activities have generated and may in the future generate revenue.</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moderately decrease in the short term and to decrease as a percentage of revenue in the long term, although the percentage may fluctuate from period to period due to the timing and extent of our development and commercialization efforts.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Sales and marketing expenses include personnel-related expenses (including salaries, benefits and share-based compensation) for commercial sales, product and account management, marketing, reimbursement, medical education and business development personnel that support commercialization of our platform products. In addition, these expenses include external costs such as advertising expenses, customer education and promotional expenses, market analysis expenses, conference fees, travel expenses and allocated facility and information technology costs.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expect sales and marketing expenses to moderately increase in the short term. In the long term, we expect sales and marketing expenses to increase in absolute dollars as we increase marketing activities to drive awareness and adoption of our products and services. However, we expect sales and marketing expenses to decrease as a percentage of revenue in the long term, subject to fluctuations from period to period due to the timing and magnitude of these expenses.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personnel-related expenses (including salaries, benefits and share-based compensation) for our personnel in executive, legal, finance and accounting, human resources and other administrative functions, including third-party clinical billing services. In addition, these expenses include insurance costs, external legal costs, accounting and tax service expenses, consulting fees and allocated facility and information technology costs.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general and administrative expenses to moderately decrease in the short term and to decrease as a percentage of revenue in the long term.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Interest expense includes costs associated with our revenue interest liability related to the Purchase Agreement and noncash interest costs associated with the amortization of the related deferred issuance costs. We impute interest expense using the effective interest rate method. We calculate an effective interest rate which will amortize our related obligation to zero over the anticipated repayment period. A significant increase or decrease in or changes in timing of forecasted revenue will prospectively impact our interest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 and Other Financial and Operating Data</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other financial and operating data for the periods presented (in thousands, except share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90,080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(29,604)</w:t>
            </w: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(20,015)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(29,830)</w:t>
            </w: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Adaptive Biotechnologies Corporation</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(20,033)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(29,852)</w:t>
            </w: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Adaptive Biotechnologies Corporation common shareholders, basic</w:t>
            </w:r>
          </w:p>
        </w:tc>
        <w:tc>
          <w:tcPr>
            <w:tcW w:w="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194"/>
        </w:trPr>
        <w:tc>
          <w:tcPr>
            <w:tcW w:w="7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5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Adaptive Biotechnologies</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155,521,048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149,195,028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58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Corporation common shareholders, basic and diluted</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5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Financial and Operating Data:</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(1)</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(12,748)</w:t>
            </w: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-1880870</wp:posOffset>
            </wp:positionV>
            <wp:extent cx="9398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-1880870</wp:posOffset>
            </wp:positionV>
            <wp:extent cx="9398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-873760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-856615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-325120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-307975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0" w:firstLine="8"/>
        <w:spacing w:after="0" w:line="314" w:lineRule="auto"/>
        <w:tabs>
          <w:tab w:leader="none" w:pos="185"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Adjusted EBITDA is a non-GAAP financial measure that we define as net loss attributable to Adaptive Biotechnologies Corporation adjusted for interest and other income, net, interest expense, income tax (expense) benefit, depreciation and amortization expense, impairment costs for long-lived assets, restructuring expense and share-based compensation expense. See “Adjusted EBITDA” below for a reconciliation between Adjusted EBITDA and net loss attributable to Adaptive Biotechnologies Corporation, the most directly comparable GAAP financial measure, and a discussion about the limitations of Adjusted EBITDA.</w:t>
      </w: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12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c>
          <w:tcPr>
            <w:tcW w:w="800" w:type="dxa"/>
            <w:vAlign w:val="bottom"/>
            <w:tcBorders>
              <w:top w:val="single" w:sz="8" w:color="auto"/>
            </w:tcBorders>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MRD revenue</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Regulatory milestone revenue</w:t>
            </w:r>
          </w:p>
        </w:tc>
        <w:tc>
          <w:tcPr>
            <w:tcW w:w="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MRD revenue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Immune Medicine revenue</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and licensing revenue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(1,341)</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Immune Medicine revenue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(4,941)</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-873760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-873760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-873760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-316865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-316865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-316865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1117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1117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$23.4 million increase in MRD revenue was primarily due to a $15.8 million increase in revenue generated from providing clonoSEQ to clinical customers, a $4.5 million increase in revenue recognized upon the achievement of regulatory milestones by certain of our biopharmaceutical customers and a $3.5 million increase in revenue generated from providing MRD sample testing services to biopharmaceutical customers, partially offset by a $0.6 million decrease in revenue generated from providing MRD sample testing services to investigator-led clinical trials. Our clonoSEQ test volume increased by 41% to 32,595 tests delivered in the three months ended March 31, 2026 from 23,117 tests delivered in the three months ended March 31, 2025.</w:t>
      </w:r>
    </w:p>
    <w:p>
      <w:pPr>
        <w:spacing w:after="0" w:line="6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$4.9 million decrease in Immune Medicine revenue was primarily due to a $3.6 million decrease in revenue generated from the Genentech Agreement, resulting from the termination of the Genentech Agreement in August 2025, and a $1.3 million decrease in sample testing revenue generated from our biopharmaceutical and academic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40" w:type="dxa"/>
            <w:vAlign w:val="bottom"/>
          </w:tcPr>
          <w:p>
            <w:pPr>
              <w:spacing w:after="0"/>
              <w:rPr>
                <w:sz w:val="13"/>
                <w:szCs w:val="13"/>
                <w:color w:val="auto"/>
              </w:rPr>
            </w:pPr>
          </w:p>
        </w:tc>
        <w:tc>
          <w:tcPr>
            <w:tcW w:w="11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18,708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16,979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1,729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$1.7 million increase in cost of revenue was primarily attributable to a $0.9 million increase in shipping and handling expenses and a $0.7 million increase in labor and overhead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160" w:type="dxa"/>
            <w:vAlign w:val="bottom"/>
            <w:vMerge w:val="continue"/>
          </w:tcPr>
          <w:p>
            <w:pPr>
              <w:spacing w:after="0"/>
              <w:rPr>
                <w:sz w:val="13"/>
                <w:szCs w:val="13"/>
                <w:color w:val="auto"/>
              </w:rPr>
            </w:pPr>
          </w:p>
        </w:tc>
        <w:tc>
          <w:tcPr>
            <w:tcW w:w="78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vMerge w:val="restart"/>
          </w:tcPr>
          <w:p>
            <w:pPr>
              <w:spacing w:after="0"/>
              <w:rPr>
                <w:sz w:val="13"/>
                <w:szCs w:val="13"/>
                <w:color w:val="auto"/>
              </w:rPr>
            </w:pPr>
          </w:p>
        </w:tc>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13"/>
                <w:szCs w:val="13"/>
                <w:color w:val="auto"/>
              </w:rPr>
            </w:pP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3"/>
                <w:szCs w:val="13"/>
                <w:color w:val="auto"/>
              </w:rPr>
            </w:pPr>
          </w:p>
        </w:tc>
        <w:tc>
          <w:tcPr>
            <w:tcW w:w="8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5160" w:type="dxa"/>
            <w:vAlign w:val="bottom"/>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23,623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24,203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disaggregated research and development expenses by cost classification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8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materials and allocated production laboratory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Allocable facilities and information technology expenses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cloud services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other expenses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0"/>
        </w:trPr>
        <w:tc>
          <w:tcPr>
            <w:tcW w:w="7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23,623</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-942340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-942340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243"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The $0.6 million decrease in research and development expenses was primarily attributable to a $1.0 million decrease in depreciation and other expenses and a $0.6 million decrease in laboratory materials and allocated production laboratory expenses, which was driven primarily by decreased investments in clonoSEQ efforts. These decreases were partially offset by a $0.7 million increase in software and cloud services expenses and a $0.4 million increase in personnel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40" w:type="dxa"/>
            <w:vAlign w:val="bottom"/>
          </w:tcPr>
          <w:p>
            <w:pPr>
              <w:spacing w:after="0"/>
              <w:rPr>
                <w:sz w:val="13"/>
                <w:szCs w:val="13"/>
                <w:color w:val="auto"/>
              </w:rPr>
            </w:pPr>
          </w:p>
        </w:tc>
        <w:tc>
          <w:tcPr>
            <w:tcW w:w="11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26,346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23,047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3,299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$3.3 million increase in sales and marketing expenses was primarily attributable to a $1.8 million increase in personnel costs, a $0.8 million increase in travel and customer event related expenses and a $0.5 million increase in computer and software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40" w:type="dxa"/>
            <w:vAlign w:val="bottom"/>
          </w:tcPr>
          <w:p>
            <w:pPr>
              <w:spacing w:after="0"/>
              <w:rPr>
                <w:sz w:val="13"/>
                <w:szCs w:val="13"/>
                <w:color w:val="auto"/>
              </w:rPr>
            </w:pPr>
          </w:p>
        </w:tc>
        <w:tc>
          <w:tcPr>
            <w:tcW w:w="11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20,984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17,399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3,585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$3.6 million increase in general and administrative expenses was primarily attributable to a $1.7 million increase in personnel costs, a $0.9 million increase in computer and software expenses and a $0.8 million increase in third-party billing service fees.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86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(599)</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The $0.6 million decrease in interest and other income, net was primarily attributable to a decrease in net interest income and investment amortization driven by decreased holdings of and interest rates pertaining to our cash, cash equivalents and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(2,889)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(2,905)</w:t>
            </w:r>
          </w:p>
        </w:tc>
        <w:tc>
          <w:tcPr>
            <w:tcW w:w="74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nominal decrease in interest expense was attributable to a change in our assumptions regarding the timeframe in which our Purchase Agreement will be fully repaid.</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680" w:type="dxa"/>
            <w:vAlign w:val="bottom"/>
            <w:vMerge w:val="continue"/>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46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vMerge w:val="continue"/>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MRD Adjusted EBITDA</w:t>
            </w:r>
            <w:r>
              <w:rPr>
                <w:rFonts w:ascii="Times New Roman" w:cs="Times New Roman" w:eastAsia="Times New Roman" w:hAnsi="Times New Roman"/>
                <w:sz w:val="24"/>
                <w:szCs w:val="24"/>
                <w:color w:val="auto"/>
                <w:vertAlign w:val="superscript"/>
              </w:rPr>
              <w:t>(2)</w:t>
            </w: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(4,111)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Immune Medicine Adjusted EBITDA</w:t>
            </w:r>
            <w:r>
              <w:rPr>
                <w:rFonts w:ascii="Times New Roman" w:cs="Times New Roman" w:eastAsia="Times New Roman" w:hAnsi="Times New Roman"/>
                <w:sz w:val="24"/>
                <w:szCs w:val="24"/>
                <w:color w:val="auto"/>
                <w:vertAlign w:val="superscript"/>
              </w:rPr>
              <w:t>(2)</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(10,360)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(5,106)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(5,254)</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right="180" w:firstLine="8"/>
        <w:spacing w:after="0"/>
        <w:tabs>
          <w:tab w:leader="none" w:pos="17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Costs related to Digital Biotechnologies, Inc. are no longer included as Immune Medicine costs and have been reclassified to our unallocated corporate category.</w:t>
      </w:r>
    </w:p>
    <w:p>
      <w:pPr>
        <w:spacing w:after="0" w:line="220" w:lineRule="exact"/>
        <w:rPr>
          <w:rFonts w:ascii="Times New Roman" w:cs="Times New Roman" w:eastAsia="Times New Roman" w:hAnsi="Times New Roman"/>
          <w:sz w:val="20"/>
          <w:szCs w:val="20"/>
          <w:color w:val="auto"/>
          <w:vertAlign w:val="superscript"/>
        </w:rPr>
      </w:pPr>
    </w:p>
    <w:p>
      <w:pPr>
        <w:ind w:right="380"/>
        <w:spacing w:after="0" w:line="230"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Adjusted EBITDA is a non-GAAP financial measure. See “Adjusted EBITDA” below for an explanation of how it is calculated and used by management. Adjusted EBITDA related to our unallocated corporate category is included in the calculation of consolidated Adjusted EBITDA but not shown above in the breakout of segment Adjusted EBITDA.</w:t>
      </w:r>
    </w:p>
    <w:p>
      <w:pPr>
        <w:spacing w:after="0" w:line="9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$16.2 million improvement in MRD Adjusted EBITDA was primarily attributable to a $23.4 million increase in MRD revenue, partially offset by an increase in operating expenses, excluding those identified as reconciling items between segment net income and segment net loss, respectively, and segment Adjusted EBITDA. The increase in these operating expenses relates primarily to sales and marketing and general and administrative activities.</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$5.3 million increase in Immune Medicine Adjusted EBITDA deficit was primarily attributable to a $4.9 million decrease in Immune Medicine revenue, resulting largely from the termination of the Genentech Agreement in August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Adjusted EBITDA is a non-GAAP financial measure that we define as net loss attributable to Adaptive Biotechnologies Corporation adjusted for interest and other income, net, interest expense, income tax (expense) benefit, depreciation and amortization expense, impairment costs for long-lived assets, restructuring expense and share-based compensation expense. We define our segment Adjusted EBITDA in the same way to the extent the net loss attributable to Adaptive Biotechnologies Corporation and adjustments are allocable to each segment. See Note 13,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of the accompanying notes to the unaudited condensed consolidated financial statements included elsewhere in this report for more information regarding segment Adjusted EBITDA.</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uses Adjusted EBITDA, including segment Adjusted EBITDA, to evaluate the financial performance of our business and segments and to evaluate the effectiveness of our strategies. We present these figures because we believe it is frequently used by analysts, investors and other interested parties to evaluate companies in our industry and it facilitates comparisons on a consistent basis across reporting periods. Further, we believe it is helpful in highlighting trends in our operating results because it excludes items that are not indicative of our core operating performance.</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Adjusted EBITDA, including segment Adjusted EBITDA, has limitations as an analytical tool and you should not consider it in isolation or as a substitute for analysis of our results as reported under GAAP. We may in the future incur expenses similar to the adjustments we make. In particular, we expect to incur meaningful share-based compensation expense in the future. Other limitations include that Adjusted EBITDA, including segment Adjusted EBITDA, does not reflect:</w:t>
      </w:r>
    </w:p>
    <w:p>
      <w:pPr>
        <w:spacing w:after="0" w:line="72" w:lineRule="exact"/>
        <w:rPr>
          <w:sz w:val="20"/>
          <w:szCs w:val="20"/>
          <w:color w:val="auto"/>
        </w:rPr>
      </w:pPr>
    </w:p>
    <w:p>
      <w:pPr>
        <w:ind w:left="1140" w:hanging="24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140" w:hanging="24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working capital needs;</w:t>
      </w:r>
    </w:p>
    <w:p>
      <w:pPr>
        <w:spacing w:after="0" w:line="117" w:lineRule="exact"/>
        <w:rPr>
          <w:rFonts w:ascii="Times New Roman" w:cs="Times New Roman" w:eastAsia="Times New Roman" w:hAnsi="Times New Roman"/>
          <w:sz w:val="18"/>
          <w:szCs w:val="18"/>
          <w:color w:val="auto"/>
        </w:rPr>
      </w:pPr>
    </w:p>
    <w:p>
      <w:pPr>
        <w:ind w:left="1140" w:hanging="24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which is an ongoing element of our costs to operate;</w:t>
      </w:r>
    </w:p>
    <w:p>
      <w:pPr>
        <w:spacing w:after="0" w:line="117" w:lineRule="exact"/>
        <w:rPr>
          <w:rFonts w:ascii="Times New Roman" w:cs="Times New Roman" w:eastAsia="Times New Roman" w:hAnsi="Times New Roman"/>
          <w:sz w:val="18"/>
          <w:szCs w:val="18"/>
          <w:color w:val="auto"/>
        </w:rPr>
      </w:pPr>
    </w:p>
    <w:p>
      <w:pPr>
        <w:ind w:left="1140" w:hanging="24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benefit, which may be a necessary element of our costs and ability to operate;</w:t>
      </w:r>
    </w:p>
    <w:p>
      <w:pPr>
        <w:spacing w:after="0" w:line="117" w:lineRule="exact"/>
        <w:rPr>
          <w:rFonts w:ascii="Times New Roman" w:cs="Times New Roman" w:eastAsia="Times New Roman" w:hAnsi="Times New Roman"/>
          <w:sz w:val="18"/>
          <w:szCs w:val="18"/>
          <w:color w:val="auto"/>
        </w:rPr>
      </w:pPr>
    </w:p>
    <w:p>
      <w:pPr>
        <w:ind w:left="1140" w:hanging="24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replacing the assets being depreciated and amortized, which will often have to be replaced in the future;</w:t>
      </w:r>
    </w:p>
    <w:p>
      <w:pPr>
        <w:spacing w:after="0" w:line="117" w:lineRule="exact"/>
        <w:rPr>
          <w:rFonts w:ascii="Times New Roman" w:cs="Times New Roman" w:eastAsia="Times New Roman" w:hAnsi="Times New Roman"/>
          <w:sz w:val="18"/>
          <w:szCs w:val="18"/>
          <w:color w:val="auto"/>
        </w:rPr>
      </w:pPr>
    </w:p>
    <w:p>
      <w:pPr>
        <w:ind w:left="1140" w:hanging="24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component of employee compensation expense;</w:t>
      </w:r>
    </w:p>
    <w:p>
      <w:pPr>
        <w:spacing w:after="0" w:line="117" w:lineRule="exact"/>
        <w:rPr>
          <w:rFonts w:ascii="Times New Roman" w:cs="Times New Roman" w:eastAsia="Times New Roman" w:hAnsi="Times New Roman"/>
          <w:sz w:val="18"/>
          <w:szCs w:val="18"/>
          <w:color w:val="auto"/>
        </w:rPr>
      </w:pPr>
    </w:p>
    <w:p>
      <w:pPr>
        <w:ind w:left="1140" w:hanging="24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impairment costs; and</w:t>
      </w:r>
    </w:p>
    <w:p>
      <w:pPr>
        <w:spacing w:after="0" w:line="117" w:lineRule="exact"/>
        <w:rPr>
          <w:rFonts w:ascii="Times New Roman" w:cs="Times New Roman" w:eastAsia="Times New Roman" w:hAnsi="Times New Roman"/>
          <w:sz w:val="18"/>
          <w:szCs w:val="18"/>
          <w:color w:val="auto"/>
        </w:rPr>
      </w:pPr>
    </w:p>
    <w:p>
      <w:pPr>
        <w:ind w:left="1140" w:right="240" w:hanging="249"/>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earnings or charges resulting from matters we consider not to be reflective, on a recurring basis, of our ongoing operations, such as our restructuring activities and reductions in workforce.</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Adjusted EBITDA, including segment Adjusted EBITDA, may not be comparable to similarly titled measures used by other companies in our industry or across different industries.</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24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loss attributable to Adaptive Biotechnologies Corporation, the most directly comparable GAAP financial measure, to Adjusted EBITDA for the periods presented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Adaptive Biotechnologies Corporation</w:t>
            </w:r>
          </w:p>
        </w:tc>
        <w:tc>
          <w:tcPr>
            <w:tcW w:w="9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(20,033)</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(29,852)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w:t>
            </w:r>
          </w:p>
        </w:tc>
      </w:tr>
      <w:tr>
        <w:trPr>
          <w:trHeight w:val="216"/>
        </w:trPr>
        <w:tc>
          <w:tcPr>
            <w:tcW w:w="7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4"/>
                <w:szCs w:val="24"/>
                <w:color w:val="auto"/>
                <w:vertAlign w:val="superscript"/>
              </w:rPr>
              <w:t>(1)</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Impairment of long-lived assets</w:t>
            </w:r>
            <w:r>
              <w:rPr>
                <w:rFonts w:ascii="Times New Roman" w:cs="Times New Roman" w:eastAsia="Times New Roman" w:hAnsi="Times New Roman"/>
                <w:sz w:val="24"/>
                <w:szCs w:val="24"/>
                <w:color w:val="auto"/>
                <w:vertAlign w:val="superscript"/>
              </w:rPr>
              <w:t>(2)</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expense</w:t>
            </w:r>
            <w:r>
              <w:rPr>
                <w:rFonts w:ascii="Times New Roman" w:cs="Times New Roman" w:eastAsia="Times New Roman" w:hAnsi="Times New Roman"/>
                <w:sz w:val="24"/>
                <w:szCs w:val="24"/>
                <w:color w:val="auto"/>
                <w:vertAlign w:val="superscript"/>
              </w:rPr>
              <w:t>(2)</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4"/>
                <w:szCs w:val="24"/>
                <w:color w:val="auto"/>
                <w:vertAlign w:val="superscript"/>
              </w:rPr>
              <w:t>(3)</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(2,469)</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(12,748)</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ind w:right="60" w:firstLine="8"/>
        <w:spacing w:after="0" w:line="278" w:lineRule="auto"/>
        <w:tabs>
          <w:tab w:leader="none" w:pos="17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Represents costs associated with our revenue interest liability and noncash interest costs associated with the amortization of the related deferred issuance costs. See Note 8, </w:t>
      </w:r>
      <w:r>
        <w:rPr>
          <w:rFonts w:ascii="Times New Roman" w:cs="Times New Roman" w:eastAsia="Times New Roman" w:hAnsi="Times New Roman"/>
          <w:sz w:val="15"/>
          <w:szCs w:val="15"/>
          <w:i w:val="1"/>
          <w:iCs w:val="1"/>
          <w:color w:val="auto"/>
        </w:rPr>
        <w:t>Revenue Interest Purchase Agreement</w:t>
      </w:r>
      <w:r>
        <w:rPr>
          <w:rFonts w:ascii="Times New Roman" w:cs="Times New Roman" w:eastAsia="Times New Roman" w:hAnsi="Times New Roman"/>
          <w:sz w:val="15"/>
          <w:szCs w:val="15"/>
          <w:color w:val="auto"/>
        </w:rPr>
        <w:t xml:space="preserve"> of the accompanying notes to the unaudited condensed consolidated financial statements included elsewhere in this report for details on the Purchase Agreement.</w:t>
      </w:r>
    </w:p>
    <w:p>
      <w:pPr>
        <w:ind w:left="200" w:hanging="192"/>
        <w:spacing w:after="0" w:line="199" w:lineRule="auto"/>
        <w:tabs>
          <w:tab w:leader="none" w:pos="20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expenses recognized in conjunction with a restructuring that primarily impacted research and development activities.</w:t>
      </w:r>
    </w:p>
    <w:p>
      <w:pPr>
        <w:spacing w:after="0" w:line="15" w:lineRule="exact"/>
        <w:rPr>
          <w:rFonts w:ascii="Times New Roman" w:cs="Times New Roman" w:eastAsia="Times New Roman" w:hAnsi="Times New Roman"/>
          <w:sz w:val="24"/>
          <w:szCs w:val="24"/>
          <w:color w:val="auto"/>
          <w:vertAlign w:val="superscript"/>
        </w:rPr>
      </w:pPr>
    </w:p>
    <w:p>
      <w:pPr>
        <w:ind w:right="720" w:firstLine="8"/>
        <w:spacing w:after="0" w:line="230" w:lineRule="auto"/>
        <w:tabs>
          <w:tab w:leader="none" w:pos="185"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Represents share-based compensation expense related to various awards. See Note 11, </w:t>
      </w:r>
      <w:r>
        <w:rPr>
          <w:rFonts w:ascii="Times New Roman" w:cs="Times New Roman" w:eastAsia="Times New Roman" w:hAnsi="Times New Roman"/>
          <w:sz w:val="17"/>
          <w:szCs w:val="17"/>
          <w:i w:val="1"/>
          <w:iCs w:val="1"/>
          <w:color w:val="auto"/>
        </w:rPr>
        <w:t>Equity Incentive Plans</w:t>
      </w:r>
      <w:r>
        <w:rPr>
          <w:rFonts w:ascii="Times New Roman" w:cs="Times New Roman" w:eastAsia="Times New Roman" w:hAnsi="Times New Roman"/>
          <w:sz w:val="17"/>
          <w:szCs w:val="17"/>
          <w:color w:val="auto"/>
        </w:rPr>
        <w:t xml:space="preserve"> of the accompanying notes to the unaudited condensed consolidated financial statements included elsewhere in this report for details on our share-based compensation expense.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incurred losses since inception, apart from the three month period ended September 30, 2025, and have incurred negative cash flows from operations since inception through March 31, 2026, with the exception of certain 2019 periods for which we had positive cash flows from operations. As of March 31, 2026, we had an accumulated deficit of $1.4 billion.</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convertible preferred stock and common stock, revenue and the proceeds received from the Purchase Agreement. Pursuant to the Purchase Agreement entered into in September 2022, we received net cash proceeds of $124.4 million, after deducting issuance costs. As of March 31, 2026, we had cash, cash equivalents and marketable securities of $221.9 million, excluding $15.3 million of cash and cash equivalents held by Digital Biotechnologies, Inc.</w:t>
      </w:r>
    </w:p>
    <w:p>
      <w:pPr>
        <w:spacing w:after="0" w:line="7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believe our existing cash, cash equivalents and marketable securities will be sufficient to fund our operating expenses and capital expenditure requirements through at least the next 12 months. We may consider raising additional capital to expand our business, to pursue strategic investments, to take advantage of financing opportunities or for other reasons.</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our available cash, cash equivalents and marketable securities balances and anticipated cash flows are insufficient to satisfy our liquidity requirements, we may seek to sell additional equity or convertible debt securities, enter into a credit facility or another form of third-party funding or seek other debt financing. The sale of equity and convertible debt securities may result in dilution to our shareholders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This additional capital may not be available on reasonable terms, or at all.</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plan to utilize the existing cash, cash equivalents and marketable securities on hand primarily to fund our commercial and assay development initiatives associated with clonoSEQ, our continued research and development initiatives related to mapping TCRs to antigens and the advancement of our target discovery capabilities. Cash in excess of immediate requirements is invested in accordance with our investment policy, primarily with a view to capital preservation and liquidity. Currently, our funds are held in money market funds and marketable securities consisting of U.S. government treasury and agency securities, corporate bonds and commercial paper.</w:t>
      </w:r>
    </w:p>
    <w:p>
      <w:pPr>
        <w:spacing w:after="0" w:line="75" w:lineRule="exact"/>
        <w:rPr>
          <w:sz w:val="20"/>
          <w:szCs w:val="20"/>
          <w:color w:val="auto"/>
        </w:rPr>
      </w:pPr>
    </w:p>
    <w:p>
      <w:pPr>
        <w:ind w:right="300" w:firstLine="509"/>
        <w:spacing w:after="0" w:line="253" w:lineRule="auto"/>
        <w:rPr>
          <w:sz w:val="20"/>
          <w:szCs w:val="20"/>
          <w:color w:val="auto"/>
        </w:rPr>
      </w:pPr>
      <w:r>
        <w:rPr>
          <w:rFonts w:ascii="Times New Roman" w:cs="Times New Roman" w:eastAsia="Times New Roman" w:hAnsi="Times New Roman"/>
          <w:sz w:val="18"/>
          <w:szCs w:val="18"/>
          <w:color w:val="auto"/>
        </w:rPr>
        <w:t>While we may experience variability in revenue in the near term, over the long-term we expect revenue from our current and future products and services to grow. Accordingly, we expect our accounts receivable and inventory balances to increase. Our levels of accounts receivable may fluctuate relative to our revenue for a number of reasons, including the timing of milestone triggers and related payment of those milestones and an increase in revenue generated from clinical customers, which may result in more billings in arrears as opposed to upfront payments. Any increase in accounts receivable and inventory may not be completely offset by increases in accounts payable and accrued expenses, which could result in greater working capital requirements.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and commitments as previously disclosed in our Annual Report on Form 10-K for the year ended December 31, 2025 (the “Annual Report”) filed with the SEC on February 26, 2026.</w:t>
      </w:r>
    </w:p>
    <w:p>
      <w:pPr>
        <w:spacing w:after="0" w:line="52"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of the accompanying notes to the unaudited condensed consolidated financial statements included elsewhere in this report for more information regarding our contractual obligations relating to lease agreements and the Purchase Agreement,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uses and sources of cash for the three months ended March 31, 2026 and 2025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3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0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(9,537)</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(28,484)</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9,143</w:t>
            </w:r>
          </w:p>
        </w:tc>
        <w:tc>
          <w:tcPr>
            <w:tcW w:w="1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25,573</w:t>
            </w: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0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7,500</w:t>
            </w:r>
          </w:p>
        </w:tc>
        <w:tc>
          <w:tcPr>
            <w:tcW w:w="1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5,451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primarily comprised of changes in operating assets and liabilities and net loss, as adjusted for noncash items. Noncash adjustments consist primarily of share-based compensation, depreciation and amortization and noncash lease expense.</w:t>
      </w:r>
    </w:p>
    <w:p>
      <w:pPr>
        <w:spacing w:after="0" w:line="94"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$9.5 million as compared to $28.5 million for the three months ended March 31, 2026 and 2025, respectively. The decrease in net cash used in operating activities was primarily driven by an increase in customer collections.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color w:val="auto"/>
        </w:rPr>
        <w:t>Net cash provided by investing activities was $9.1 million as compared to $25.6 million for the three months ended March 31, 2026 and 2025, respectively. The decrease in net cash provided by investing activities was primarily due to a decrease in proceeds from maturities of marketable securities, partially offset by a reduction in purchases of marketable securities and property and equipment</w:t>
      </w:r>
      <w:r>
        <w:rPr>
          <w:rFonts w:ascii="Arial" w:cs="Arial" w:eastAsia="Arial" w:hAnsi="Arial"/>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Cash provided by financing activities was $7.5 million as compared to $5.5 million for the three months ended March 31, 2026 and 2025, respectively. The increase in cash provided by financing activities was primarily due to proceeds received from Digital Biotechnologies, Inc.</w:t>
      </w:r>
      <w:r>
        <w:rPr>
          <w:rFonts w:ascii="Arial" w:cs="Arial" w:eastAsia="Arial" w:hAnsi="Arial"/>
          <w:sz w:val="18"/>
          <w:szCs w:val="18"/>
          <w:color w:val="auto"/>
        </w:rPr>
        <w:t>’</w:t>
      </w:r>
      <w:r>
        <w:rPr>
          <w:rFonts w:ascii="Times New Roman" w:cs="Times New Roman" w:eastAsia="Times New Roman" w:hAnsi="Times New Roman"/>
          <w:sz w:val="18"/>
          <w:szCs w:val="18"/>
          <w:color w:val="auto"/>
        </w:rPr>
        <w:t>s Series A Preferred Stock financing, partially offset by a decrease in proceeds from the exercise of stock options.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Loss Carryforwards</w:t>
      </w:r>
    </w:p>
    <w:p>
      <w:pPr>
        <w:spacing w:after="0" w:line="12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Utilization of our net operating loss (“NOL”) carryforwards and credits may be subject to a substantial annual limitation due to the ownership change limitations provided by Section 382 of the Internal Revenue Code of 1986 (“Section 382”) and similar state provisions. The annual limitation may result in the expiration of NOL carryforwards and credits before utilization. If there should be an ownership change, our ability to utilize our NOL carryforwards and credits could be limited. We have completed a Section 382 analysis for changes in ownership through December 31, 2023 and continue to monitor for changes that could trigger a limitation. Based on this analysis, we do not expect to have any permanent limitations on the utilization of our federal NOLs. Under the Tax Cuts and Jobs Act of 2017, federal NOLs incurred in 2018 and future years may be carried forward indefinitely, but the deductibility of such federal NOLs is subject to an annual limitation. NOLs generated prior to 2018 are eligible to be carried forward up to 20 years. Based on the available objective evidence, management determined that it was more likely than not that the net deferred tax assets would not be realizable as of December 31, 2025. Accordingly, management applied a full valuation allowance against net deferred tax assets as of December 31,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prepared the unaudited condensed consolidated financial statements in accordance with GAAP. Our preparation of these unaudited condensed consolidated financial statements requires us to make certain estimates, judgments and assumptions that affect the reported amounts of assets and liabilities and the related disclosures at the date of the unaudited condensed consolidated financial statements, as well as the reported amounts of revenues and expenses recorded during the periods presented. We evaluate our estimates and judgments on an ongoing basis. We base our estimates on historical experience and other relevant assumptions that we believe to be reasonable under the circumstances. Estimates are used in several areas, including, but not limited to, estimates of progress to date for certain performance obligations and the transaction price for certain contracts with customers, imputing interest for the Purchase Agreement, the provision for income taxes, including related reserves, the analysis of goodwill impairment and the recoverability and impairment of long-lived assets, among others. These estimates generally involve complex issues and require judgments, involve the analysis of historical results and prediction of future trends, can require extended periods of time to resolve and are subject to change from period to period. Actual results may differ materially from management’s estimates.</w:t>
      </w:r>
    </w:p>
    <w:p>
      <w:pPr>
        <w:spacing w:after="0" w:line="8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described in more detail in our Annual Report filed with the SEC on February 26, 2026, as well as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of the accompanying notes to the unaudited condensed consolidated financial statements included elsewhere in this report, we believe the following accounting policies are critical to the judgments and estimates used in the preparation of the unaudited condensed consolidated financial statements:</w:t>
      </w:r>
    </w:p>
    <w:p>
      <w:pPr>
        <w:spacing w:after="0" w:line="72" w:lineRule="exact"/>
        <w:rPr>
          <w:sz w:val="20"/>
          <w:szCs w:val="20"/>
          <w:color w:val="auto"/>
        </w:rPr>
      </w:pPr>
    </w:p>
    <w:p>
      <w:pPr>
        <w:ind w:left="1140" w:hanging="24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17" w:lineRule="exact"/>
        <w:rPr>
          <w:rFonts w:ascii="Times New Roman" w:cs="Times New Roman" w:eastAsia="Times New Roman" w:hAnsi="Times New Roman"/>
          <w:sz w:val="18"/>
          <w:szCs w:val="18"/>
          <w:color w:val="auto"/>
        </w:rPr>
      </w:pPr>
    </w:p>
    <w:p>
      <w:pPr>
        <w:ind w:left="1140" w:hanging="24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imputing interest for the Purchase Agreement;</w:t>
      </w:r>
    </w:p>
    <w:p>
      <w:pPr>
        <w:spacing w:after="0" w:line="117" w:lineRule="exact"/>
        <w:rPr>
          <w:rFonts w:ascii="Times New Roman" w:cs="Times New Roman" w:eastAsia="Times New Roman" w:hAnsi="Times New Roman"/>
          <w:sz w:val="18"/>
          <w:szCs w:val="18"/>
          <w:color w:val="auto"/>
        </w:rPr>
      </w:pPr>
    </w:p>
    <w:p>
      <w:pPr>
        <w:ind w:left="1140" w:hanging="24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w:t>
      </w:r>
    </w:p>
    <w:p>
      <w:pPr>
        <w:spacing w:after="0" w:line="117" w:lineRule="exact"/>
        <w:rPr>
          <w:rFonts w:ascii="Times New Roman" w:cs="Times New Roman" w:eastAsia="Times New Roman" w:hAnsi="Times New Roman"/>
          <w:sz w:val="18"/>
          <w:szCs w:val="18"/>
          <w:color w:val="auto"/>
        </w:rPr>
      </w:pPr>
    </w:p>
    <w:p>
      <w:pPr>
        <w:ind w:left="1140" w:hanging="24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and impairment of long-lived assets.</w:t>
      </w:r>
    </w:p>
    <w:p>
      <w:pPr>
        <w:spacing w:after="0" w:line="11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previously disclosed in our Annual Report filed with the SEC on February 26,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4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of the accompanying notes to the unaudited condensed consolidated financial statements included elsewhere in this report for more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We are exposed to market risk for changes in interest rates related primarily to our cash and cash equivalents and marketable securities. As of March 31, 2026, there have been no material changes to our market risks as previously disclosed in our Annual Report filed with the SEC on February 26, 2026. We do not enter into investments for trading purposes and have not used any derivative financial instruments to manage our interest rate risk exposure.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 under the Securities Exchange Act of 1934, as amended (the “Exchange Act”) as of the end of the period covered by this report. Based on that evaluation, our chief executive officer and chief financial officer have concluded that our disclosure controls and procedures were effective as of March 31, 2026. There was not any change in our internal control over financial reporting (as such term is defined in Rule 13a-15(f) under the Exchange Act) during the three months ended March 31, 2026 that has materially affected, or is reasonably likely to materially affect, our internal control over financial reporting.</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We operate in a rapidly changing environment that involves a number of risks that could materially affect our business, financial condition or future results, some of which are beyond our control. In addition to the other information set forth in this report, the risks and uncertainties that we believe are most important for you to consider are discussed in Part I, Item 1A under the caption “Risk Factors” in our Annual Report filed with the SEC on February 26, 2026. The risk factors may be important to understanding other statements in this report and should be read in conjunction with the unaudited condensed consolidated financial statements and related notes in this report. The occurrence of any single risk or any combination of risks could materially and adversely affect our business, operations, product pipeline, operating results, financial condition or liquidity, and consequently, the value of our securities. Further, additional risks that we currently do not know about or that we currently believe to be immaterial may also impair our business, financial condition, operating results and prospects. There have been no material changes to the risk factors described in our Annual Report filed with the SEC on February 26, 2026.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8"/>
          <w:szCs w:val="18"/>
          <w:color w:val="auto"/>
        </w:rPr>
        <w:t>On March 13, 2026, Harlan Robins, Chief Scientific Officer, adopted a Rule 10b5-1 trading plan. Dr. Robins’s plan provides for the sale of up to 984,800 shares of our common stock until December 31, 2026. This plan was entered into during an open insider trading window and is intended to satisfy the affirmative defense of Rule 10b5-1(c) under the Exchange Act and our policies regarding transactions in our securities.</w:t>
      </w:r>
    </w:p>
    <w:p>
      <w:pPr>
        <w:spacing w:after="0" w:line="68" w:lineRule="exact"/>
        <w:rPr>
          <w:sz w:val="20"/>
          <w:szCs w:val="20"/>
          <w:color w:val="auto"/>
        </w:rPr>
      </w:pPr>
    </w:p>
    <w:p>
      <w:pPr>
        <w:ind w:right="300" w:firstLine="524"/>
        <w:spacing w:after="0" w:line="261" w:lineRule="auto"/>
        <w:rPr>
          <w:sz w:val="20"/>
          <w:szCs w:val="20"/>
          <w:color w:val="auto"/>
        </w:rPr>
      </w:pPr>
      <w:r>
        <w:rPr>
          <w:rFonts w:ascii="Times New Roman" w:cs="Times New Roman" w:eastAsia="Times New Roman" w:hAnsi="Times New Roman"/>
          <w:sz w:val="18"/>
          <w:szCs w:val="18"/>
          <w:color w:val="auto"/>
        </w:rPr>
        <w:t>On March 16, 2026, Kyle Piskel, Chief Financial Officer, terminated a Rule 10b5-1 trading plan that had been adopted on August 28, 2025 and provided for the sale of up to 173,901 shares of common stock and 100% of the net vested shares of our common stock received in connection with the vesting of certain restricted stock units. The plan was originally scheduled to expire on June 30, 2026. No further transactions will occur under the terminated plan.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0" w:type="dxa"/>
            <w:vAlign w:val="bottom"/>
            <w:gridSpan w:val="15"/>
          </w:tcPr>
          <w:p>
            <w:pPr>
              <w:ind w:left="480"/>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6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This</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17"/>
                <w:szCs w:val="17"/>
                <w:color w:val="auto"/>
              </w:rPr>
            </w:pPr>
          </w:p>
        </w:tc>
        <w:tc>
          <w:tcPr>
            <w:tcW w:w="5680" w:type="dxa"/>
            <w:vAlign w:val="bottom"/>
            <w:gridSpan w:val="17"/>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Amended and Restated Articles of Incorporation</w:t>
              </w:r>
            </w:hyperlink>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001-38957</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7/1/2019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21"/>
                <w:szCs w:val="21"/>
                <w:color w:val="auto"/>
              </w:rPr>
            </w:pPr>
          </w:p>
        </w:tc>
        <w:tc>
          <w:tcPr>
            <w:tcW w:w="226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Amended and Restated Bylaws</w:t>
              </w:r>
            </w:hyperlink>
          </w:p>
        </w:tc>
        <w:tc>
          <w:tcPr>
            <w:tcW w:w="20" w:type="dxa"/>
            <w:vAlign w:val="bottom"/>
            <w:tcBorders>
              <w:top w:val="single" w:sz="8" w:color="0000FF"/>
              <w:bottom w:val="single" w:sz="8" w:color="0000EE"/>
            </w:tcBorders>
          </w:tcPr>
          <w:p>
            <w:pPr>
              <w:spacing w:after="0"/>
              <w:rPr>
                <w:sz w:val="21"/>
                <w:szCs w:val="21"/>
                <w:color w:val="auto"/>
              </w:rPr>
            </w:pPr>
          </w:p>
        </w:tc>
        <w:tc>
          <w:tcPr>
            <w:tcW w:w="1220" w:type="dxa"/>
            <w:vAlign w:val="bottom"/>
            <w:tcBorders>
              <w:top w:val="single" w:sz="8" w:color="0000FF"/>
            </w:tcBorders>
            <w:gridSpan w:val="2"/>
          </w:tcPr>
          <w:p>
            <w:pPr>
              <w:spacing w:after="0"/>
              <w:rPr>
                <w:sz w:val="21"/>
                <w:szCs w:val="21"/>
                <w:color w:val="auto"/>
              </w:rPr>
            </w:pPr>
          </w:p>
        </w:tc>
        <w:tc>
          <w:tcPr>
            <w:tcW w:w="2180" w:type="dxa"/>
            <w:vAlign w:val="bottom"/>
            <w:gridSpan w:val="13"/>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7/1/2019</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1"/>
                <w:szCs w:val="21"/>
                <w:color w:val="auto"/>
              </w:rPr>
            </w:pPr>
          </w:p>
        </w:tc>
        <w:tc>
          <w:tcPr>
            <w:tcW w:w="52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Seventh Amended and Restated Investors' Rights Agreement among the</w:t>
              </w:r>
            </w:hyperlink>
          </w:p>
        </w:tc>
        <w:tc>
          <w:tcPr>
            <w:tcW w:w="440" w:type="dxa"/>
            <w:vAlign w:val="bottom"/>
            <w:gridSpan w:val="7"/>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333-231838</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5/30/2019</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Registrant and certain of its shareholders, dated May 30, 2019</w:t>
              </w:r>
            </w:hyperlink>
          </w:p>
        </w:tc>
        <w:tc>
          <w:tcPr>
            <w:tcW w:w="20" w:type="dxa"/>
            <w:vAlign w:val="bottom"/>
            <w:tcBorders>
              <w:bottom w:val="single" w:sz="8" w:color="0000EE"/>
            </w:tcBorders>
          </w:tcPr>
          <w:p>
            <w:pPr>
              <w:spacing w:after="0"/>
              <w:rPr>
                <w:sz w:val="17"/>
                <w:szCs w:val="17"/>
                <w:color w:val="auto"/>
              </w:rPr>
            </w:pPr>
          </w:p>
        </w:tc>
        <w:tc>
          <w:tcPr>
            <w:tcW w:w="1180" w:type="dxa"/>
            <w:vAlign w:val="bottom"/>
            <w:gridSpan w:val="11"/>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10.1*</w:t>
            </w:r>
          </w:p>
        </w:tc>
        <w:tc>
          <w:tcPr>
            <w:tcW w:w="140" w:type="dxa"/>
            <w:vAlign w:val="bottom"/>
          </w:tcPr>
          <w:p>
            <w:pPr>
              <w:spacing w:after="0"/>
              <w:rPr>
                <w:sz w:val="20"/>
                <w:szCs w:val="20"/>
                <w:color w:val="auto"/>
              </w:rPr>
            </w:pPr>
          </w:p>
        </w:tc>
        <w:tc>
          <w:tcPr>
            <w:tcW w:w="56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Form of Performance Units Agreement and Notice of Grant of Performance Units</w:t>
            </w: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63"/>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40" w:type="dxa"/>
            <w:vAlign w:val="bottom"/>
          </w:tcPr>
          <w:p>
            <w:pPr>
              <w:spacing w:after="0"/>
              <w:rPr>
                <w:sz w:val="22"/>
                <w:szCs w:val="22"/>
                <w:color w:val="auto"/>
              </w:rPr>
            </w:pPr>
          </w:p>
        </w:tc>
        <w:tc>
          <w:tcPr>
            <w:tcW w:w="546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7"/>
                <w:szCs w:val="17"/>
                <w:color w:val="0000FF"/>
              </w:rPr>
              <w:t>Certification of Principal Executive Officer pursuant to Rule 13a</w:t>
            </w:r>
            <w:r>
              <w:rPr>
                <w:rFonts w:ascii="MS PGothic" w:cs="MS PGothic" w:eastAsia="MS PGothic" w:hAnsi="MS PGothic"/>
                <w:sz w:val="17"/>
                <w:szCs w:val="17"/>
                <w:color w:val="0000FF"/>
              </w:rPr>
              <w:t>‑</w:t>
            </w:r>
            <w:r>
              <w:rPr>
                <w:rFonts w:ascii="Times New Roman" w:cs="Times New Roman" w:eastAsia="Times New Roman" w:hAnsi="Times New Roman"/>
                <w:sz w:val="17"/>
                <w:szCs w:val="17"/>
                <w:color w:val="0000FF"/>
              </w:rPr>
              <w:t>14(a) or Rule</w:t>
            </w:r>
          </w:p>
        </w:tc>
        <w:tc>
          <w:tcPr>
            <w:tcW w:w="140" w:type="dxa"/>
            <w:vAlign w:val="bottom"/>
            <w:tcBorders>
              <w:top w:val="single" w:sz="8" w:color="0000FF"/>
            </w:tcBorders>
            <w:gridSpan w:val="2"/>
          </w:tcPr>
          <w:p>
            <w:pPr>
              <w:spacing w:after="0"/>
              <w:rPr>
                <w:sz w:val="22"/>
                <w:szCs w:val="22"/>
                <w:color w:val="auto"/>
              </w:rPr>
            </w:pPr>
          </w:p>
        </w:tc>
        <w:tc>
          <w:tcPr>
            <w:tcW w:w="80" w:type="dxa"/>
            <w:vAlign w:val="bottom"/>
            <w:gridSpan w:val="3"/>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7"/>
                <w:szCs w:val="17"/>
                <w:color w:val="0000FF"/>
              </w:rPr>
              <w:t>15d</w:t>
            </w:r>
            <w:r>
              <w:rPr>
                <w:rFonts w:ascii="MS PGothic" w:cs="MS PGothic" w:eastAsia="MS PGothic" w:hAnsi="MS PGothic"/>
                <w:sz w:val="17"/>
                <w:szCs w:val="17"/>
                <w:color w:val="0000FF"/>
              </w:rPr>
              <w:t>‑</w:t>
            </w:r>
            <w:r>
              <w:rPr>
                <w:rFonts w:ascii="Times New Roman" w:cs="Times New Roman" w:eastAsia="Times New Roman" w:hAnsi="Times New Roman"/>
                <w:sz w:val="17"/>
                <w:szCs w:val="17"/>
                <w:color w:val="0000FF"/>
              </w:rPr>
              <w:t>14(a) of the Securities Exchange Act of 1934, as adopted pursuant to Section</w:t>
            </w:r>
          </w:p>
        </w:tc>
        <w:tc>
          <w:tcPr>
            <w:tcW w:w="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80" w:type="dxa"/>
            <w:vAlign w:val="bottom"/>
            <w:gridSpan w:val="17"/>
          </w:tcPr>
          <w:p>
            <w:pPr>
              <w:spacing w:after="0" w:line="183" w:lineRule="exact"/>
              <w:rPr>
                <w:sz w:val="20"/>
                <w:szCs w:val="20"/>
                <w:color w:val="auto"/>
              </w:rPr>
            </w:pPr>
            <w:r>
              <w:rPr>
                <w:rFonts w:ascii="Times New Roman" w:cs="Times New Roman" w:eastAsia="Times New Roman" w:hAnsi="Times New Roman"/>
                <w:sz w:val="17"/>
                <w:szCs w:val="17"/>
                <w:color w:val="0000FF"/>
              </w:rPr>
              <w:t>302 of the Sarbanes-Oxley Act of 2002</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gridSpan w:val="3"/>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21"/>
                <w:szCs w:val="21"/>
                <w:color w:val="auto"/>
              </w:rPr>
            </w:pPr>
          </w:p>
        </w:tc>
        <w:tc>
          <w:tcPr>
            <w:tcW w:w="54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7"/>
                <w:szCs w:val="17"/>
                <w:color w:val="0000FF"/>
              </w:rPr>
              <w:t>Certification of Principal Financial Officer pursuant to Rule 13a</w:t>
            </w:r>
            <w:r>
              <w:rPr>
                <w:rFonts w:ascii="MS PGothic" w:cs="MS PGothic" w:eastAsia="MS PGothic" w:hAnsi="MS PGothic"/>
                <w:sz w:val="17"/>
                <w:szCs w:val="17"/>
                <w:color w:val="0000FF"/>
              </w:rPr>
              <w:t>‑</w:t>
            </w:r>
            <w:r>
              <w:rPr>
                <w:rFonts w:ascii="Times New Roman" w:cs="Times New Roman" w:eastAsia="Times New Roman" w:hAnsi="Times New Roman"/>
                <w:sz w:val="17"/>
                <w:szCs w:val="17"/>
                <w:color w:val="0000FF"/>
              </w:rPr>
              <w:t>14(a) or Rule</w:t>
            </w:r>
          </w:p>
        </w:tc>
        <w:tc>
          <w:tcPr>
            <w:tcW w:w="280" w:type="dxa"/>
            <w:vAlign w:val="bottom"/>
            <w:gridSpan w:val="6"/>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7"/>
                <w:szCs w:val="17"/>
                <w:color w:val="0000FF"/>
              </w:rPr>
              <w:t>15d</w:t>
            </w:r>
            <w:r>
              <w:rPr>
                <w:rFonts w:ascii="MS PGothic" w:cs="MS PGothic" w:eastAsia="MS PGothic" w:hAnsi="MS PGothic"/>
                <w:sz w:val="17"/>
                <w:szCs w:val="17"/>
                <w:color w:val="0000FF"/>
              </w:rPr>
              <w:t>‑</w:t>
            </w:r>
            <w:r>
              <w:rPr>
                <w:rFonts w:ascii="Times New Roman" w:cs="Times New Roman" w:eastAsia="Times New Roman" w:hAnsi="Times New Roman"/>
                <w:sz w:val="17"/>
                <w:szCs w:val="17"/>
                <w:color w:val="0000FF"/>
              </w:rPr>
              <w:t>14(a) of the Securities Exchange Act of 1934, as adopted pursuant to Section</w:t>
            </w:r>
          </w:p>
        </w:tc>
        <w:tc>
          <w:tcPr>
            <w:tcW w:w="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80" w:type="dxa"/>
            <w:vAlign w:val="bottom"/>
            <w:gridSpan w:val="17"/>
          </w:tcPr>
          <w:p>
            <w:pPr>
              <w:spacing w:after="0" w:line="183" w:lineRule="exact"/>
              <w:rPr>
                <w:sz w:val="20"/>
                <w:szCs w:val="20"/>
                <w:color w:val="auto"/>
              </w:rPr>
            </w:pPr>
            <w:r>
              <w:rPr>
                <w:rFonts w:ascii="Times New Roman" w:cs="Times New Roman" w:eastAsia="Times New Roman" w:hAnsi="Times New Roman"/>
                <w:sz w:val="17"/>
                <w:szCs w:val="17"/>
                <w:color w:val="0000FF"/>
              </w:rPr>
              <w:t>302 of the Sarbanes-Oxley Act of 2002</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gridSpan w:val="3"/>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Pr>
          <w:p>
            <w:pPr>
              <w:spacing w:after="0"/>
              <w:rPr>
                <w:sz w:val="20"/>
                <w:szCs w:val="20"/>
                <w:color w:val="auto"/>
              </w:rPr>
            </w:pPr>
          </w:p>
        </w:tc>
        <w:tc>
          <w:tcPr>
            <w:tcW w:w="5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 1350,</w:t>
            </w:r>
          </w:p>
        </w:tc>
        <w:tc>
          <w:tcPr>
            <w:tcW w:w="160" w:type="dxa"/>
            <w:vAlign w:val="bottom"/>
            <w:gridSpan w:val="4"/>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80" w:type="dxa"/>
            <w:vAlign w:val="bottom"/>
            <w:gridSpan w:val="17"/>
          </w:tcPr>
          <w:p>
            <w:pPr>
              <w:spacing w:after="0" w:line="183" w:lineRule="exact"/>
              <w:rPr>
                <w:sz w:val="20"/>
                <w:szCs w:val="20"/>
                <w:color w:val="auto"/>
              </w:rPr>
            </w:pPr>
            <w:r>
              <w:rPr>
                <w:rFonts w:ascii="Times New Roman" w:cs="Times New Roman" w:eastAsia="Times New Roman" w:hAnsi="Times New Roman"/>
                <w:sz w:val="17"/>
                <w:szCs w:val="17"/>
                <w:color w:val="0000FF"/>
              </w:rPr>
              <w:t>as adopted pursuant to Section 906 of the Sarbanes-Oxley Act of 2002</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40" w:type="dxa"/>
            <w:vAlign w:val="bottom"/>
          </w:tcPr>
          <w:p>
            <w:pPr>
              <w:spacing w:after="0"/>
              <w:rPr>
                <w:sz w:val="20"/>
                <w:szCs w:val="20"/>
                <w:color w:val="auto"/>
              </w:rPr>
            </w:pPr>
          </w:p>
        </w:tc>
        <w:tc>
          <w:tcPr>
            <w:tcW w:w="56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 1350, as</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20" w:type="dxa"/>
            <w:vAlign w:val="bottom"/>
            <w:tcBorders>
              <w:bottom w:val="single" w:sz="8" w:color="0000EE"/>
            </w:tcBorders>
          </w:tcPr>
          <w:p>
            <w:pPr>
              <w:spacing w:after="0"/>
              <w:rPr>
                <w:sz w:val="15"/>
                <w:szCs w:val="15"/>
                <w:color w:val="auto"/>
              </w:rPr>
            </w:pPr>
          </w:p>
        </w:tc>
        <w:tc>
          <w:tcPr>
            <w:tcW w:w="1020" w:type="dxa"/>
            <w:vAlign w:val="bottom"/>
            <w:gridSpan w:val="9"/>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101.INS</w:t>
            </w:r>
          </w:p>
        </w:tc>
        <w:tc>
          <w:tcPr>
            <w:tcW w:w="140" w:type="dxa"/>
            <w:vAlign w:val="bottom"/>
          </w:tcPr>
          <w:p>
            <w:pPr>
              <w:spacing w:after="0"/>
              <w:rPr>
                <w:sz w:val="23"/>
                <w:szCs w:val="23"/>
                <w:color w:val="auto"/>
              </w:rPr>
            </w:pPr>
          </w:p>
        </w:tc>
        <w:tc>
          <w:tcPr>
            <w:tcW w:w="5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140" w:type="dxa"/>
            <w:vAlign w:val="bottom"/>
          </w:tcPr>
          <w:p>
            <w:pPr>
              <w:spacing w:after="0"/>
              <w:rPr>
                <w:sz w:val="21"/>
                <w:szCs w:val="21"/>
                <w:color w:val="auto"/>
              </w:rPr>
            </w:pPr>
          </w:p>
        </w:tc>
        <w:tc>
          <w:tcPr>
            <w:tcW w:w="5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1"/>
                <w:szCs w:val="21"/>
                <w:color w:val="auto"/>
              </w:rPr>
            </w:pPr>
          </w:p>
        </w:tc>
        <w:tc>
          <w:tcPr>
            <w:tcW w:w="5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included in</w:t>
            </w: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Exhibit 101)</w:t>
            </w: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980" w:hanging="579"/>
        <w:spacing w:after="0"/>
        <w:tabs>
          <w:tab w:leader="none" w:pos="9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Management contract or compensation plan or arrangement.</w:t>
      </w: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Adaptive Biotechnologies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59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daptive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iotechnologies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03" w:lineRule="exact"/>
        <w:rPr>
          <w:sz w:val="20"/>
          <w:szCs w:val="20"/>
          <w:color w:val="auto"/>
        </w:rPr>
      </w:pPr>
    </w:p>
    <w:p>
      <w:pPr>
        <w:spacing w:after="0"/>
        <w:tabs>
          <w:tab w:leader="none" w:pos="5880" w:val="left"/>
          <w:tab w:leader="none" w:pos="702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i w:val="1"/>
          <w:iCs w:val="1"/>
          <w:color w:val="auto"/>
        </w:rPr>
        <w:t>/s/ Chad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19685</wp:posOffset>
            </wp:positionV>
            <wp:extent cx="26657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Chad Robins</w:t>
      </w:r>
    </w:p>
    <w:p>
      <w:pPr>
        <w:spacing w:after="0" w:line="2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w:t>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spacing w:after="0"/>
        <w:tabs>
          <w:tab w:leader="none" w:pos="5880" w:val="left"/>
          <w:tab w:leader="none" w:pos="702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i w:val="1"/>
          <w:iCs w:val="1"/>
          <w:color w:val="auto"/>
        </w:rPr>
        <w:t>/s/ Kyle Piskel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19685</wp:posOffset>
            </wp:positionV>
            <wp:extent cx="26657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Kyle Piskel</w:t>
      </w:r>
    </w:p>
    <w:p>
      <w:pPr>
        <w:spacing w:after="0" w:line="2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ADAPTIVE BIOTECHNOLOGIES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GRANT OF PERFORMANCE UNITS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U.S. Participants)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Adaptive Biotechnologies Corporation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granted to the Participant an award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of certain Performance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xml:space="preserve">”) pursuant to the Adaptive Biotechnologies Corporation 2019 Equity Incentive Plan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Award is subject to all of the terms and conditions of this Performance Stock Unit Grant Notice, the Performance Goals and Vesting Criteria set forth on Attachment I to this Grant Notice, and the Performance Units Agreement (collectively, including all attachments and exhibits,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and the Plan</w:t>
      </w:r>
    </w:p>
    <w:p>
      <w:pPr>
        <w:sectPr>
          <w:pgSz w:w="11900" w:h="16838" w:orient="portrait"/>
          <w:cols w:equalWidth="0" w:num="1">
            <w:col w:w="11240"/>
          </w:cols>
          <w:pgMar w:left="320" w:top="756" w:right="339" w:bottom="1440" w:gutter="0" w:footer="0" w:header="0"/>
        </w:sectPr>
      </w:pP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131445</wp:posOffset>
            </wp:positionV>
            <wp:extent cx="285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ID:</w:t>
      </w:r>
    </w:p>
    <w:p>
      <w:pPr>
        <w:spacing w:after="0" w:line="859" w:lineRule="exact"/>
        <w:rPr>
          <w:sz w:val="20"/>
          <w:szCs w:val="20"/>
          <w:color w:val="auto"/>
        </w:rPr>
      </w:pPr>
    </w:p>
    <w:p>
      <w:pPr>
        <w:sectPr>
          <w:pgSz w:w="11900" w:h="16838" w:orient="portrait"/>
          <w:cols w:equalWidth="0" w:num="2">
            <w:col w:w="6480" w:space="720"/>
            <w:col w:w="4040"/>
          </w:cols>
          <w:pgMar w:left="320" w:top="756" w:right="339" w:bottom="1440" w:gutter="0" w:footer="0" w:header="0"/>
          <w:type w:val="continuous"/>
        </w:sectPr>
      </w:pP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Target Number of PSUs:</w:t>
      </w:r>
    </w:p>
    <w:p>
      <w:pPr>
        <w:sectPr>
          <w:pgSz w:w="11900" w:h="16838" w:orient="portrait"/>
          <w:cols w:equalWidth="0" w:num="1">
            <w:col w:w="11240"/>
          </w:cols>
          <w:pgMar w:left="320" w:top="756" w:right="339" w:bottom="1440" w:gutter="0" w:footer="0" w:header="0"/>
          <w:type w:val="continuous"/>
        </w:sectPr>
      </w:pP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Maximum Number of PSUs: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 Target Number of PSUs</w:t>
      </w:r>
    </w:p>
    <w:p>
      <w:pPr>
        <w:spacing w:after="0" w:line="113" w:lineRule="exact"/>
        <w:rPr>
          <w:sz w:val="20"/>
          <w:szCs w:val="20"/>
          <w:color w:val="auto"/>
        </w:rPr>
      </w:pPr>
    </w:p>
    <w:p>
      <w:pPr>
        <w:sectPr>
          <w:pgSz w:w="11900" w:h="16838" w:orient="portrait"/>
          <w:cols w:equalWidth="0" w:num="3">
            <w:col w:w="2300" w:space="560"/>
            <w:col w:w="240" w:space="720"/>
            <w:col w:w="7420"/>
          </w:cols>
          <w:pgMar w:left="320" w:top="756"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Superseding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25" w:lineRule="exact"/>
        <w:rPr>
          <w:sz w:val="20"/>
          <w:szCs w:val="20"/>
          <w:color w:val="auto"/>
        </w:rPr>
      </w:pPr>
    </w:p>
    <w:p>
      <w:pPr>
        <w:sectPr>
          <w:pgSz w:w="11900" w:h="16838" w:orient="portrait"/>
          <w:cols w:equalWidth="0" w:num="2">
            <w:col w:w="2140" w:space="720"/>
            <w:col w:w="8380"/>
          </w:cols>
          <w:pgMar w:left="320" w:top="756"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ectPr>
          <w:pgSz w:w="11900" w:h="16838" w:orient="portrait"/>
          <w:cols w:equalWidth="0" w:num="1">
            <w:col w:w="11240"/>
          </w:cols>
          <w:pgMar w:left="320" w:top="756" w:right="339" w:bottom="1440" w:gutter="0" w:footer="0" w:header="0"/>
          <w:type w:val="continuous"/>
        </w:sectPr>
      </w:pP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provided in the Performance Goals and Vesting Criteria set forth on Attachment I for performance targets referenced below.</w:t>
      </w:r>
    </w:p>
    <w:p>
      <w:pPr>
        <w:spacing w:after="0" w:line="50" w:lineRule="exact"/>
        <w:rPr>
          <w:sz w:val="20"/>
          <w:szCs w:val="20"/>
          <w:color w:val="auto"/>
        </w:rPr>
      </w:pPr>
    </w:p>
    <w:p>
      <w:pPr>
        <w:sectPr>
          <w:pgSz w:w="11900" w:h="16838" w:orient="portrait"/>
          <w:cols w:equalWidth="0" w:num="2">
            <w:col w:w="2140" w:space="720"/>
            <w:col w:w="8380"/>
          </w:cols>
          <w:pgMar w:left="320" w:top="756"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Performance Target: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 Shareholder Return] [Revenue Compounded Annual Growth Rate]</w:t>
      </w:r>
    </w:p>
    <w:p>
      <w:pPr>
        <w:spacing w:after="0" w:line="125" w:lineRule="exact"/>
        <w:rPr>
          <w:sz w:val="20"/>
          <w:szCs w:val="20"/>
          <w:color w:val="auto"/>
        </w:rPr>
      </w:pPr>
    </w:p>
    <w:p>
      <w:pPr>
        <w:sectPr>
          <w:pgSz w:w="11900" w:h="16838" w:orient="portrait"/>
          <w:cols w:equalWidth="0" w:num="2">
            <w:col w:w="2140" w:space="720"/>
            <w:col w:w="8380"/>
          </w:cols>
          <w:pgMar w:left="320" w:top="756"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b w:val="1"/>
          <w:bCs w:val="1"/>
          <w:color w:val="auto"/>
        </w:rPr>
        <w:t>Issuance Schedule:</w:t>
      </w:r>
    </w:p>
    <w:p>
      <w:pPr>
        <w:spacing w:after="0" w:line="20" w:lineRule="exact"/>
        <w:rPr>
          <w:sz w:val="20"/>
          <w:szCs w:val="20"/>
          <w:color w:val="auto"/>
        </w:rPr>
      </w:pPr>
      <w:r>
        <w:rPr>
          <w:sz w:val="20"/>
          <w:szCs w:val="20"/>
          <w:color w:val="auto"/>
        </w:rPr>
        <w:br w:type="column"/>
      </w:r>
    </w:p>
    <w:p>
      <w:pPr>
        <w:ind w:right="620"/>
        <w:spacing w:after="0" w:line="282" w:lineRule="auto"/>
        <w:rPr>
          <w:sz w:val="20"/>
          <w:szCs w:val="20"/>
          <w:color w:val="auto"/>
        </w:rPr>
      </w:pPr>
      <w:r>
        <w:rPr>
          <w:rFonts w:ascii="Times New Roman" w:cs="Times New Roman" w:eastAsia="Times New Roman" w:hAnsi="Times New Roman"/>
          <w:sz w:val="18"/>
          <w:szCs w:val="18"/>
          <w:color w:val="auto"/>
        </w:rPr>
        <w:t>If a PSU vests, the Company will deliver one share of Stock in settlement of each vested PSU as set forth in Section 6 of the Performance Units Agreement.</w:t>
      </w:r>
    </w:p>
    <w:p>
      <w:pPr>
        <w:spacing w:after="0" w:line="54" w:lineRule="exact"/>
        <w:rPr>
          <w:sz w:val="20"/>
          <w:szCs w:val="20"/>
          <w:color w:val="auto"/>
        </w:rPr>
      </w:pPr>
    </w:p>
    <w:p>
      <w:pPr>
        <w:sectPr>
          <w:pgSz w:w="11900" w:h="16838" w:orient="portrait"/>
          <w:cols w:equalWidth="0" w:num="2">
            <w:col w:w="2140" w:space="720"/>
            <w:col w:w="8380"/>
          </w:cols>
          <w:pgMar w:left="320" w:top="756"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their signatures below or by electronic acceptance or authentication in a form authorized by the Company, the Company and the Participant agree that the Award is governed by this Grant Notice and by the provisions of the Award Agreement and the Plan, both of which are made a part of this document, and by the Superseding Agreement, if any. The Participant acknowledges that copies of the Plan, the Award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Award Agreement and the Plan, and hereby accepts the Award subject to all of their terms and conditions.</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tc>
        <w:tc>
          <w:tcPr>
            <w:tcW w:w="20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w w:val="97"/>
              </w:rPr>
              <w:t>PARTICIPANT</w:t>
            </w:r>
          </w:p>
        </w:tc>
        <w:tc>
          <w:tcPr>
            <w:tcW w:w="0" w:type="dxa"/>
            <w:vAlign w:val="bottom"/>
          </w:tcPr>
          <w:p>
            <w:pPr>
              <w:spacing w:after="0"/>
              <w:rPr>
                <w:sz w:val="1"/>
                <w:szCs w:val="1"/>
                <w:color w:val="auto"/>
              </w:rPr>
            </w:pPr>
          </w:p>
        </w:tc>
      </w:tr>
      <w:tr>
        <w:trPr>
          <w:trHeight w:val="41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Name:</w:t>
            </w:r>
          </w:p>
        </w:tc>
        <w:tc>
          <w:tcPr>
            <w:tcW w:w="2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34"/>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2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216"/>
        </w:trPr>
        <w:tc>
          <w:tcPr>
            <w:tcW w:w="5020" w:type="dxa"/>
            <w:vAlign w:val="bottom"/>
            <w:vMerge w:val="continue"/>
          </w:tcPr>
          <w:p>
            <w:pPr>
              <w:spacing w:after="0"/>
              <w:rPr>
                <w:sz w:val="18"/>
                <w:szCs w:val="18"/>
                <w:color w:val="auto"/>
              </w:rPr>
            </w:pPr>
          </w:p>
        </w:tc>
        <w:tc>
          <w:tcPr>
            <w:tcW w:w="208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Attachment I; 2019 Equity Incentive Plan, as amended to the Date of Grant; Performance Units Agreement and Plan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Goals and Vesting Criteria</w:t>
      </w:r>
    </w:p>
    <w:p>
      <w:pPr>
        <w:spacing w:after="0" w:line="225"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order for any Performance Unit subject to the Award to vest and be earned, each of the Service Vesting Requirement and the Performance Goals as described herein must be satisfied. Any PSUs which may not potentially vest based on application of the Service Vesting Requirement and/or Performance Goals will be immediately forfeited.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all purposes of this Award, the following terms have the following meanings:</w:t>
      </w:r>
    </w:p>
    <w:p>
      <w:pPr>
        <w:spacing w:after="0" w:line="22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 Reason” </w:t>
      </w:r>
      <w:r>
        <w:rPr>
          <w:rFonts w:ascii="Times New Roman" w:cs="Times New Roman" w:eastAsia="Times New Roman" w:hAnsi="Times New Roman"/>
          <w:sz w:val="18"/>
          <w:szCs w:val="18"/>
          <w:color w:val="auto"/>
        </w:rPr>
        <w:t>means without your written consent, (i) a material reduction in your authority, duties or responsibilities with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relative to your authority, duties or responsibilities in effect immediately prior to such reduction; provided, however, any change immediately following a Change in Control to a functionally comparable position with the Company’s successor or within its group of controlled corporations shall not constitute Good Reason hereunder, (ii) a material reduction in the your base compensation, other than in connection with simultaneous reductions in all other senior executives at the vice president level or above of equal or greater amount in percentage terms, (iii) a material change in the geographic location at which you must perform your duties (which, for purposes of this Agreement, means a change of geographic location from which the you are principally employed to a location more than fifty (50) miles from the location of your principal employment immediately prior to the relocation); or (iv) a material breach by the Company of the terms of this Award or any other agreement between you and the Company; provided, however, that in order for your resignation to have been implemented for “Good Reason” you must provide written notice to the Board within 30 days immediately following such events described in (i) through (iv) hereof, the Company must fail to cure such event within 30 days after receipt of such notice, and your resignation must be effective not later than 90 days after the expiration of such period to cure.</w:t>
      </w:r>
    </w:p>
    <w:p>
      <w:pPr>
        <w:spacing w:after="0" w:line="18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Index Group</w:t>
      </w:r>
      <w:r>
        <w:rPr>
          <w:rFonts w:ascii="Times New Roman" w:cs="Times New Roman" w:eastAsia="Times New Roman" w:hAnsi="Times New Roman"/>
          <w:sz w:val="18"/>
          <w:szCs w:val="18"/>
          <w:color w:val="auto"/>
        </w:rPr>
        <w:t>” means the group of companies which are members of the S&amp;P Biotechnology Select Industry Index as determined of the Date of Grant (each an “</w:t>
      </w:r>
      <w:r>
        <w:rPr>
          <w:rFonts w:ascii="Times New Roman" w:cs="Times New Roman" w:eastAsia="Times New Roman" w:hAnsi="Times New Roman"/>
          <w:sz w:val="18"/>
          <w:szCs w:val="18"/>
          <w:b w:val="1"/>
          <w:bCs w:val="1"/>
          <w:i w:val="1"/>
          <w:iCs w:val="1"/>
          <w:color w:val="auto"/>
        </w:rPr>
        <w:t>Index Company</w:t>
      </w:r>
      <w:r>
        <w:rPr>
          <w:rFonts w:ascii="Times New Roman" w:cs="Times New Roman" w:eastAsia="Times New Roman" w:hAnsi="Times New Roman"/>
          <w:sz w:val="18"/>
          <w:szCs w:val="18"/>
          <w:color w:val="auto"/>
        </w:rPr>
        <w:t>”), subject to adjustment as set forth in Part H below.</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“Qualified Termination” </w:t>
      </w:r>
      <w:r>
        <w:rPr>
          <w:rFonts w:ascii="Times New Roman" w:cs="Times New Roman" w:eastAsia="Times New Roman" w:hAnsi="Times New Roman"/>
          <w:sz w:val="18"/>
          <w:szCs w:val="18"/>
          <w:color w:val="auto"/>
        </w:rPr>
        <w:t>means an involuntary termination of your employment by the Company without Cause or your resignation for Good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 and which occurs during the period commencing on a Change in Control and ending twelve months following a Change in Control. A Qualified Termination does not include a termination of your employment due to death or disability. In order to qualify as a Qualified Termination, if requested by the Company you must provide the Company with an effective release of claims within 55 days following such termination of your employment.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“Qualified Pre-CIC Termination” </w:t>
      </w:r>
      <w:r>
        <w:rPr>
          <w:rFonts w:ascii="Times New Roman" w:cs="Times New Roman" w:eastAsia="Times New Roman" w:hAnsi="Times New Roman"/>
          <w:sz w:val="18"/>
          <w:szCs w:val="18"/>
          <w:color w:val="auto"/>
        </w:rPr>
        <w:t>means a Qualified Termination that occurs within the three-month period immediately preceding a Change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capitalized terms used herein have the meanings set forth in the Plan unless otherwise defined herein.</w:t>
      </w:r>
    </w:p>
    <w:p>
      <w:pPr>
        <w:spacing w:after="0" w:line="221"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 Vesting Requirement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Except as otherwise expressly provided in Sections E and F below, vesting of any portion of your Award is generally subject to your continuous</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Service through [ ] (the “</w:t>
      </w:r>
      <w:r>
        <w:rPr>
          <w:rFonts w:ascii="Times New Roman" w:cs="Times New Roman" w:eastAsia="Times New Roman" w:hAnsi="Times New Roman"/>
          <w:sz w:val="18"/>
          <w:szCs w:val="18"/>
          <w:b w:val="1"/>
          <w:bCs w:val="1"/>
          <w:i w:val="1"/>
          <w:iCs w:val="1"/>
          <w:color w:val="auto"/>
        </w:rPr>
        <w:t>Service Vesting Requirement</w:t>
      </w:r>
      <w:r>
        <w:rPr>
          <w:rFonts w:ascii="Times New Roman" w:cs="Times New Roman" w:eastAsia="Times New Roman" w:hAnsi="Times New Roman"/>
          <w:sz w:val="18"/>
          <w:szCs w:val="18"/>
          <w:color w:val="auto"/>
        </w:rPr>
        <w:t>”). If your continuous Service terminates for any reason prior to your satisfaction of the Service Vesting Requirement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18"/>
          <w:szCs w:val="18"/>
          <w:color w:val="auto"/>
        </w:rPr>
        <w:t>expressly provided in Sections E and F below, no portion of your Award is eligible to vest, and the PSUs subject to your Award will immediately terminate and be forfeited upon such termination of your continuous Service.</w:t>
      </w:r>
    </w:p>
    <w:p>
      <w:pPr>
        <w:spacing w:after="0" w:line="158"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Goals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number of PSUs subject to your Award that may vest will be subject to the Company’s achievement with respect to the performance goals as set forth in paragraphs (1) and (2) below (together the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Performance Goal</w:t>
      </w:r>
      <w:r>
        <w:rPr>
          <w:rFonts w:ascii="Times New Roman" w:cs="Times New Roman" w:eastAsia="Times New Roman" w:hAnsi="Times New Roman"/>
          <w:sz w:val="18"/>
          <w:szCs w:val="18"/>
          <w:color w:val="auto"/>
        </w:rPr>
        <w:t>”) over the Performance Period specified in the Grant Notice, with each Performance Goal weighted equally in determining the total number of PSUs that are eligible to vest. In all cases, the maximum number of PSUs that may vest is the Maximum Number of PSUs specified in the Grant Notice.</w:t>
      </w:r>
    </w:p>
    <w:p>
      <w:pPr>
        <w:spacing w:after="0" w:line="180" w:lineRule="exact"/>
        <w:rPr>
          <w:sz w:val="20"/>
          <w:szCs w:val="20"/>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Total Shareholder Return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of the Company over the Performance Period as measured as a relative percentile of the TSR performance of the Index Group during the Performance Period. The number of PSUs subject to your Award that may vest in connection with the achievement of the Performance Goal set forth in this paragraph will be determined by reference to the Company’s TSR Percentile Rank during the Performance Period as indicated in the chart below, with linear interpolation between the designated performance levels, subject to adjustment as provided herein. For such purposes, “</w:t>
      </w:r>
      <w:r>
        <w:rPr>
          <w:rFonts w:ascii="Times New Roman" w:cs="Times New Roman" w:eastAsia="Times New Roman" w:hAnsi="Times New Roman"/>
          <w:sz w:val="18"/>
          <w:szCs w:val="18"/>
          <w:b w:val="1"/>
          <w:bCs w:val="1"/>
          <w:i w:val="1"/>
          <w:iCs w:val="1"/>
          <w:color w:val="auto"/>
        </w:rPr>
        <w:t>Company TSR Percentile Rank</w:t>
      </w:r>
      <w:r>
        <w:rPr>
          <w:rFonts w:ascii="Times New Roman" w:cs="Times New Roman" w:eastAsia="Times New Roman" w:hAnsi="Times New Roman"/>
          <w:sz w:val="18"/>
          <w:szCs w:val="18"/>
          <w:color w:val="auto"/>
        </w:rPr>
        <w:t>” means the TSR Percentile Rank of the Company relative to TSR Percentile Rank of the Index Group as determined by the Committee for the Performance Period and “</w:t>
      </w:r>
      <w:r>
        <w:rPr>
          <w:rFonts w:ascii="Times New Roman" w:cs="Times New Roman" w:eastAsia="Times New Roman" w:hAnsi="Times New Roman"/>
          <w:sz w:val="18"/>
          <w:szCs w:val="18"/>
          <w:b w:val="1"/>
          <w:bCs w:val="1"/>
          <w:i w:val="1"/>
          <w:iCs w:val="1"/>
          <w:color w:val="auto"/>
        </w:rPr>
        <w:t>TSR Percentile Rank</w:t>
      </w:r>
      <w:r>
        <w:rPr>
          <w:rFonts w:ascii="Times New Roman" w:cs="Times New Roman" w:eastAsia="Times New Roman" w:hAnsi="Times New Roman"/>
          <w:sz w:val="18"/>
          <w:szCs w:val="18"/>
          <w:color w:val="auto"/>
        </w:rPr>
        <w:t>” means the percentile performance of the Company and each member of the Index Group based on the TSR for such company as determined by the Committee for the Performance Period.</w:t>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6560" w:type="dxa"/>
            <w:vAlign w:val="bottom"/>
            <w:tcBorders>
              <w:top w:val="single" w:sz="8" w:color="auto"/>
              <w:left w:val="single" w:sz="8" w:color="auto"/>
              <w:right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Company TSR Percentile Rank Compared to Index Group</w:t>
            </w:r>
          </w:p>
        </w:tc>
        <w:tc>
          <w:tcPr>
            <w:tcW w:w="2340" w:type="dxa"/>
            <w:vAlign w:val="bottom"/>
            <w:tcBorders>
              <w:top w:val="single" w:sz="8" w:color="auto"/>
              <w:right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Multiplier*</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Level</w:t>
            </w:r>
          </w:p>
        </w:tc>
      </w:tr>
      <w:tr>
        <w:trPr>
          <w:trHeight w:val="44"/>
        </w:trPr>
        <w:tc>
          <w:tcPr>
            <w:tcW w:w="3260" w:type="dxa"/>
            <w:vAlign w:val="bottom"/>
            <w:tcBorders>
              <w:left w:val="single" w:sz="8" w:color="auto"/>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r>
      <w:tr>
        <w:trPr>
          <w:trHeight w:val="220"/>
        </w:trPr>
        <w:tc>
          <w:tcPr>
            <w:tcW w:w="3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right w:val="single" w:sz="8" w:color="auto"/>
            </w:tcBorders>
          </w:tcPr>
          <w:p>
            <w:pPr>
              <w:jc w:val="right"/>
              <w:ind w:right="2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326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right w:val="single" w:sz="8" w:color="auto"/>
            </w:tcBorders>
          </w:tcPr>
          <w:p>
            <w:pPr>
              <w:jc w:val="right"/>
              <w:ind w:right="2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r>
      <w:tr>
        <w:trPr>
          <w:trHeight w:val="27"/>
        </w:trPr>
        <w:tc>
          <w:tcPr>
            <w:tcW w:w="326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right w:val="single" w:sz="8" w:color="auto"/>
            </w:tcBorders>
          </w:tcPr>
          <w:p>
            <w:pPr>
              <w:jc w:val="right"/>
              <w:ind w:right="2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Target</w:t>
            </w:r>
          </w:p>
        </w:tc>
      </w:tr>
      <w:tr>
        <w:trPr>
          <w:trHeight w:val="27"/>
        </w:trPr>
        <w:tc>
          <w:tcPr>
            <w:tcW w:w="326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right w:val="single" w:sz="8" w:color="auto"/>
            </w:tcBorders>
          </w:tcPr>
          <w:p>
            <w:pPr>
              <w:jc w:val="right"/>
              <w:ind w:right="2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r>
      <w:tr>
        <w:trPr>
          <w:trHeight w:val="27"/>
        </w:trPr>
        <w:tc>
          <w:tcPr>
            <w:tcW w:w="326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Multiplier is applied to the Target Number of PSUs. Multiplier subject to linear interpolation between percentiles.</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TSR will be calculated as follows, as adjusted for stock splits or similar changes in capital structure which occur during the Performance Period, and subject to Section F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114300</wp:posOffset>
            </wp:positionV>
            <wp:extent cx="3771900" cy="4457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37719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00" w:hanging="369"/>
        <w:spacing w:after="0" w:line="261" w:lineRule="auto"/>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Stock Price = Average daily closing stock price of last 20 trading days immediately preceding the start of the Performance Period</w:t>
      </w:r>
    </w:p>
    <w:p>
      <w:pPr>
        <w:ind w:left="1500" w:hanging="369"/>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Stock Price = Average daily closing stock price of the last 20 trading days of the Performance Period</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 Reinvested dividends and dividend equivalents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8"/>
          <w:szCs w:val="18"/>
          <w:color w:val="auto"/>
        </w:rPr>
        <w:t>If the Company’s TSR is negative, the maximum number of PSUs that may vest with respect to the portion of the PSUs eligible to vest subject to</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level of attainment of Performance Goal set forth in this Section C.1 is capped at [ ]% of the applicable portion of the Target Number of PSUs that are eligible to vest based on the TSR Performance Goal ([ ]%) regardless of Company’s percentile rank compared to the Index.</w:t>
      </w:r>
    </w:p>
    <w:p>
      <w:pPr>
        <w:spacing w:after="0" w:line="181" w:lineRule="exact"/>
        <w:rPr>
          <w:sz w:val="20"/>
          <w:szCs w:val="20"/>
          <w:color w:val="auto"/>
        </w:rPr>
      </w:pPr>
    </w:p>
    <w:p>
      <w:pPr>
        <w:ind w:left="1120" w:hanging="363"/>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MRD Revenue Compound Annual Growth Rate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MRD Revenue Compound Annual Growth Rate (CAGR) will be measured based on the CAGR performance for MRD Revenue over the Performance Period as adjusted as set forth Part I below. CAGR will be calculated as MRD Revenue for the last completed fiscal year of the Performance Period divided by MRD Revenue for the fiscal year that ended immediately preceding the beginning of the Performance Period, then raising the result to an exponent of one divided by the number of calendar years in the Performance Period. Subtract one from the subsequent result to arrive at the applicable CAGR.</w:t>
      </w:r>
    </w:p>
    <w:p>
      <w:pPr>
        <w:spacing w:after="0" w:line="18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For purposes of this calculation, MRD Revenue means revenue, as defined under U.S. GAAP, derived from any product, service, license or other development initiative supporting the Company’s MRD reporting segment, as defined and set forth in the Company’s required SEC periodic reports filed during fiscal year 2025.</w:t>
      </w:r>
    </w:p>
    <w:p>
      <w:pPr>
        <w:spacing w:after="0" w:line="17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number of PSUs subject to your Award that may vest in connection with the achievement of the Performance Goal set forth in this paragraph will be determined by reference to the Company’s level of achievement of MRD Revenue CAGR, as indicated in the chart below, with linear interpolation between the designated performance levels, subject to adjustment as provided herein.</w:t>
      </w: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6560" w:type="dxa"/>
            <w:vAlign w:val="bottom"/>
            <w:tcBorders>
              <w:top w:val="single" w:sz="8" w:color="auto"/>
              <w:left w:val="single" w:sz="8" w:color="auto"/>
              <w:right w:val="single" w:sz="8" w:color="auto"/>
            </w:tcBorders>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3-Year MRD Revenue CAGR</w:t>
            </w:r>
          </w:p>
        </w:tc>
        <w:tc>
          <w:tcPr>
            <w:tcW w:w="2340" w:type="dxa"/>
            <w:vAlign w:val="bottom"/>
            <w:tcBorders>
              <w:top w:val="single" w:sz="8" w:color="auto"/>
              <w:right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Multiplier*</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Level</w:t>
            </w:r>
          </w:p>
        </w:tc>
      </w:tr>
      <w:tr>
        <w:trPr>
          <w:trHeight w:val="44"/>
        </w:trPr>
        <w:tc>
          <w:tcPr>
            <w:tcW w:w="3260" w:type="dxa"/>
            <w:vAlign w:val="bottom"/>
            <w:tcBorders>
              <w:left w:val="single" w:sz="8" w:color="auto"/>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r>
      <w:tr>
        <w:trPr>
          <w:trHeight w:val="220"/>
        </w:trPr>
        <w:tc>
          <w:tcPr>
            <w:tcW w:w="3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right w:val="single" w:sz="8" w:color="auto"/>
            </w:tcBorders>
          </w:tcPr>
          <w:p>
            <w:pPr>
              <w:jc w:val="right"/>
              <w:ind w:right="2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326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right w:val="single" w:sz="8" w:color="auto"/>
            </w:tcBorders>
          </w:tcPr>
          <w:p>
            <w:pPr>
              <w:jc w:val="right"/>
              <w:ind w:right="2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r>
      <w:tr>
        <w:trPr>
          <w:trHeight w:val="27"/>
        </w:trPr>
        <w:tc>
          <w:tcPr>
            <w:tcW w:w="326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right w:val="single" w:sz="8" w:color="auto"/>
            </w:tcBorders>
          </w:tcPr>
          <w:p>
            <w:pPr>
              <w:jc w:val="right"/>
              <w:ind w:right="2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Target</w:t>
            </w:r>
          </w:p>
        </w:tc>
      </w:tr>
      <w:tr>
        <w:trPr>
          <w:trHeight w:val="27"/>
        </w:trPr>
        <w:tc>
          <w:tcPr>
            <w:tcW w:w="326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right w:val="single" w:sz="8" w:color="auto"/>
            </w:tcBorders>
          </w:tcPr>
          <w:p>
            <w:pPr>
              <w:jc w:val="right"/>
              <w:ind w:right="2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r>
      <w:tr>
        <w:trPr>
          <w:trHeight w:val="27"/>
        </w:trPr>
        <w:tc>
          <w:tcPr>
            <w:tcW w:w="326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Determination and Settlement Dates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No Stock will be issued in settlement of your Award prior to the date of the Committee’s determination of the level of attainment of the Performance Goals and the number of your PSUs that will vest. In the absence of a Change in Control, as soon as practicable within the 60-day period following completion of the Performance Period, the Committee will determine the level of achievement of the Performance Goals and the applicable number of your PSUs that will vest, subject to your satisfaction of the Service Vesting Requirement (such number of PSUs, the “</w:t>
      </w:r>
      <w:r>
        <w:rPr>
          <w:rFonts w:ascii="Times New Roman" w:cs="Times New Roman" w:eastAsia="Times New Roman" w:hAnsi="Times New Roman"/>
          <w:sz w:val="18"/>
          <w:szCs w:val="18"/>
          <w:b w:val="1"/>
          <w:bCs w:val="1"/>
          <w:i w:val="1"/>
          <w:iCs w:val="1"/>
          <w:color w:val="auto"/>
        </w:rPr>
        <w:t>Earned PSUs</w:t>
      </w:r>
      <w:r>
        <w:rPr>
          <w:rFonts w:ascii="Times New Roman" w:cs="Times New Roman" w:eastAsia="Times New Roman" w:hAnsi="Times New Roman"/>
          <w:sz w:val="18"/>
          <w:szCs w:val="18"/>
          <w:color w:val="auto"/>
        </w:rPr>
        <w:t>”). The date of the Committee’s determination is the “</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Except as specifically provided below, Stock will be issued in respect of the number of the PSUs that vest as soon as practicable within the 30-day period following such Determination Date. Any portion of the Award that does not vest on the Determination Date will immediately terminate and be forfeited on the Determination Date.</w:t>
      </w:r>
    </w:p>
    <w:p>
      <w:pPr>
        <w:spacing w:after="0" w:line="185"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 due to Death or Disability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Subject to Section F below, if, prior to the expiration of the Performance Period, your employment with the Company is terminated due to your death or Disability, the PSUs shall remain outstanding through the end of the Performance Period, and the number of PSUs that will vest on the Determination Date will be a pro-rata portion of</w:t>
      </w:r>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PSUs that would have vested had you remained in Continuous Service through the last day of the Performance Period. Such pro-rata portion will be determined by taking the number of Earned PSUs (as determined in accordance with Section D) or, if applicable, the Change in Control Determined Units (as defined in Section F) and multiplying by the percentage determined by taking the number of calendar days of continuous Service you completed during the Performance Period prior to the such termination and dividing such number by the total number of calendar days in the Performance Period. Any portion of the Award that does not vest on the Determination Date will immediately terminate and be forfeited on the Determination Date.</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avoidance of doubt, in the event your employment with the Company is terminated for any reason other than as set forth in this Section or as described in Section F (including any termination of employment by you for any reason or by the Company with or without Cause), then all unvested PSUs will immediately terminate as of the date of such termination of employment and you shall not be entitled to any payments with respect thereto.</w:t>
      </w:r>
    </w:p>
    <w:p>
      <w:pPr>
        <w:spacing w:after="0" w:line="172"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Impact of Change in Control</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757"/>
        <w:spacing w:after="0" w:line="253" w:lineRule="auto"/>
        <w:tabs>
          <w:tab w:leader="none" w:pos="11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prior to the end of the Performance Period in which no provision is made for the assumption, continuation or substitution of the PSUs, the PSUs, shall be automatically deemed vested at the applicable levels specified below and shall be settled (subject to Section G below) in connection with the Change in Control no later than 10 days following the Change in Control. The number of PSUs deemed vested will be determined based on (i) with respect to the TSR Performance Goal, the number of PSUs that would vest based on the greater of (a) the Company’s TSR performance as measured versus the Index’s TSR performance during the portion of the Performance Period that precedes the effective date of the Change in Control (the “</w:t>
      </w:r>
      <w:r>
        <w:rPr>
          <w:rFonts w:ascii="Times New Roman" w:cs="Times New Roman" w:eastAsia="Times New Roman" w:hAnsi="Times New Roman"/>
          <w:sz w:val="18"/>
          <w:szCs w:val="18"/>
          <w:b w:val="1"/>
          <w:bCs w:val="1"/>
          <w:i w:val="1"/>
          <w:iCs w:val="1"/>
          <w:color w:val="auto"/>
        </w:rPr>
        <w:t>CIC TSR Achievement Level</w:t>
      </w:r>
      <w:r>
        <w:rPr>
          <w:rFonts w:ascii="Times New Roman" w:cs="Times New Roman" w:eastAsia="Times New Roman" w:hAnsi="Times New Roman"/>
          <w:sz w:val="18"/>
          <w:szCs w:val="18"/>
          <w:color w:val="auto"/>
        </w:rPr>
        <w:t>”) and (b) the achievement of target level performance and (ii) with respect to the MRD Revenue CAGR Performance Goal, the number of PSUs that would vest based on achievement of target level performance (the number of PSUs that vest based on the determinations made in clauses (i) and (ii) above, the “</w:t>
      </w:r>
      <w:r>
        <w:rPr>
          <w:rFonts w:ascii="Times New Roman" w:cs="Times New Roman" w:eastAsia="Times New Roman" w:hAnsi="Times New Roman"/>
          <w:sz w:val="18"/>
          <w:szCs w:val="18"/>
          <w:b w:val="1"/>
          <w:bCs w:val="1"/>
          <w:i w:val="1"/>
          <w:iCs w:val="1"/>
          <w:color w:val="auto"/>
        </w:rPr>
        <w:t>Change in Control Determined Units</w:t>
      </w:r>
      <w:r>
        <w:rPr>
          <w:rFonts w:ascii="Times New Roman" w:cs="Times New Roman" w:eastAsia="Times New Roman" w:hAnsi="Times New Roman"/>
          <w:sz w:val="18"/>
          <w:szCs w:val="18"/>
          <w:color w:val="auto"/>
        </w:rPr>
        <w:t>”). For purposes of determining the CIC TSR Achievement Level, the Company’s Ending Stock Price will be the sale price per share of Stock in the Change in Control and the Ending Stock Price of each Index Company will be such Index Company’s Ending Stock Price on the date that is ten (10) business days prior to the effective date of the Change in Control. Any portion of the Award that is not Change in Control Determined Units will not vest and will immediately terminate and be forfeited upon the Change in Control without payment.</w:t>
      </w:r>
    </w:p>
    <w:p>
      <w:pPr>
        <w:spacing w:after="0" w:line="189"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Continued Service Condition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the event of a Change in Control that precedes the scheduled expiration date of the Performance Period where the surviving corporation or the acquiring corporation assumes, continues or substitutes the Award on substantially the same terms and conditions as in effect prior to the Change in Control, except as provided below, the Change in Control Determined Units (determined in the same manner set forth in Section F.1), shall remain eligible to vest subject to your continuous Service with the Company or an Affiliate through the scheduled expiration date of the Performance Period (the “</w:t>
      </w:r>
      <w:r>
        <w:rPr>
          <w:rFonts w:ascii="Times New Roman" w:cs="Times New Roman" w:eastAsia="Times New Roman" w:hAnsi="Times New Roman"/>
          <w:sz w:val="18"/>
          <w:szCs w:val="18"/>
          <w:b w:val="1"/>
          <w:bCs w:val="1"/>
          <w:i w:val="1"/>
          <w:iCs w:val="1"/>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 Control Continued Service Requirement</w:t>
      </w:r>
      <w:r>
        <w:rPr>
          <w:rFonts w:ascii="Times New Roman" w:cs="Times New Roman" w:eastAsia="Times New Roman" w:hAnsi="Times New Roman"/>
          <w:sz w:val="18"/>
          <w:szCs w:val="18"/>
          <w:color w:val="auto"/>
        </w:rPr>
        <w:t>”), and if you remain in Service through such date the Change in Control Determined Units shall vest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scheduled expiration date of the Performance Period. For the avoidance of doubt, in connection with any such assumption, continuation or substitution, the Award shall no longer be subject to the Performance Goals and only the Change in Control Determined Units shall remain eligible to vest..</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you are terminated by the Company due to your death, Disability, or a Qualified Termination upon or following the Change in Control, the Change in Control Determined Units will vest , and shares of Stock will be issued upon or as soon as practicable following the later of such termination date or the effective date of any required release, but in all cases will be issued to you within 60 days following such termination (unless such issuance is not practicable within such 60 day period and a later issuance date is permitted without</w:t>
      </w: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triggering adverse tax consequences under Section 409A of the Code, or a later payment date is required to avoid adverse tax consequences under Section 409A of the Code).</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If you are terminated by the Company due to a Qualified Pre-CIC Termination, the Change in Control Determined Units will vest and shares of stock will be issued to you within 10 days following the later of the Change in Control or the effective date of any required release (unless such issuance is not practicable within such 10 day period and a later issuance date is permitted without triggering adverse tax consequences under Section 409A of the Code, or a later payment date is required to avoid adverse tax consequences under Section 409A of the Code.</w:t>
      </w:r>
    </w:p>
    <w:p>
      <w:pPr>
        <w:spacing w:after="0" w:line="176"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Application of Section 409A</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Award is intended to be exempt from the requirements of Section 409A of the Code as providing for payment in the form of issuance of shares of Stock in settlement of any vested portion of the Award within the period permitted by the short-term deferral period exemption available under Treasury Regulations Section 1.409A-1(b)(4).</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To the extent the Award is not exempt from the requirements of Section 409A of the Code, the Award is intended to comply with the requirements of Section 409A of the Code, and the following provisions shall apply. The Award is intended to comply with Section 409A as providing for payment in the form of an issuance of shares in all cases upon the earliest of the following Section 409A permitted payment dates or events: (i) the same taxable year as the scheduled expiration date of the Performance Period, (ii) if the payment acceleration exemption permitted under Treasury Regulation 1.409A-3(j)(ix)(B) is available and elected, upon a Change in Control that is also a change in the ownership or effective control of the Company or a change in the ownership of a substantial portion of the assets of the Company as described in Code Section 409A(a)(2)(A)(iv) (a “</w:t>
      </w:r>
      <w:r>
        <w:rPr>
          <w:rFonts w:ascii="Times New Roman" w:cs="Times New Roman" w:eastAsia="Times New Roman" w:hAnsi="Times New Roman"/>
          <w:sz w:val="18"/>
          <w:szCs w:val="18"/>
          <w:b w:val="1"/>
          <w:bCs w:val="1"/>
          <w:i w:val="1"/>
          <w:iCs w:val="1"/>
          <w:color w:val="auto"/>
        </w:rPr>
        <w:t>409A CIC</w:t>
      </w:r>
      <w:r>
        <w:rPr>
          <w:rFonts w:ascii="Times New Roman" w:cs="Times New Roman" w:eastAsia="Times New Roman" w:hAnsi="Times New Roman"/>
          <w:sz w:val="18"/>
          <w:szCs w:val="18"/>
          <w:color w:val="auto"/>
        </w:rPr>
        <w:t>”), or (iii) upon a qualifying separation from service that occurs after a 409A CIC. Accordingly, the following provisions shall apply and shall supersede anything to the contrary set forth herein, in the Agreement and in the Plan to the extent an exemption from the requirements of Section 409A of the Code is not available and as required for the Award to comply with the requirements of Section 409A of the Code in order to avoid application of its adverse tax consequences to you:</w:t>
      </w:r>
    </w:p>
    <w:p>
      <w:pPr>
        <w:spacing w:after="0" w:line="194" w:lineRule="exact"/>
        <w:rPr>
          <w:sz w:val="20"/>
          <w:szCs w:val="20"/>
          <w:color w:val="auto"/>
        </w:rPr>
      </w:pPr>
    </w:p>
    <w:p>
      <w:pPr>
        <w:jc w:val="both"/>
        <w:ind w:left="1500" w:hanging="369"/>
        <w:spacing w:after="0" w:line="266" w:lineRule="auto"/>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“specified employee” within the meaning of Section 409A of the Code at the time of your separation from service, then to the extent required to be delayed pursuant to Section 409A(a)(2)(B) of the Code, the shares will not be issued to you in connection with your separation from service until 6 months and 1 day following the date of your separation from service.</w:t>
      </w:r>
    </w:p>
    <w:p>
      <w:pPr>
        <w:spacing w:after="0" w:line="202" w:lineRule="exact"/>
        <w:rPr>
          <w:rFonts w:ascii="Times New Roman" w:cs="Times New Roman" w:eastAsia="Times New Roman" w:hAnsi="Times New Roman"/>
          <w:sz w:val="18"/>
          <w:szCs w:val="18"/>
          <w:color w:val="auto"/>
        </w:rPr>
      </w:pPr>
    </w:p>
    <w:p>
      <w:pPr>
        <w:jc w:val="both"/>
        <w:ind w:left="1500" w:hanging="369"/>
        <w:spacing w:after="0" w:line="258" w:lineRule="auto"/>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Change in Control the Award must be assumed, continued or substituted by the surviving corporation or the acquiring corporation and any shares of Stock scheduled to be issued upon the scheduled expiration date of the Performance Period may not be earlier issued in settlement of any Change in Control Determined Units upon the Change in Control unless the Change in Control is a 409A CIC and an exemption is available and elected under Treasury Regulation 1.409A-3(j)(ix)(B) or such earlier issuance of the shares of Stock is otherwise permitted by Section 409A of the Code.</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must also constitute a “disability” as set forth in Treasury Regulations Section 1.409A-3(i)(4).</w:t>
      </w:r>
    </w:p>
    <w:p>
      <w:pPr>
        <w:spacing w:after="0" w:line="25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all cases, the Company retains the right to provide for earlier issuance of shares of Stock in settlement of any vested portion of the Award to the extent permitted by Section 409A of the Code.</w:t>
      </w:r>
    </w:p>
    <w:p>
      <w:pPr>
        <w:spacing w:after="0" w:line="3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ind w:left="420" w:hanging="412"/>
        <w:spacing w:after="0"/>
        <w:tabs>
          <w:tab w:leader="none" w:pos="4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Treatment of Index Companies During Performance Period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companies comprising the Index Group is determined as of the Grant Date, and, if applicable, whether a company is an Index Company and such Index Company’s TSR for the Performance Period, will only be modified during the Performance Period as follows:</w:t>
      </w:r>
    </w:p>
    <w:p>
      <w:pPr>
        <w:spacing w:after="0" w:line="162" w:lineRule="exact"/>
        <w:rPr>
          <w:sz w:val="20"/>
          <w:szCs w:val="20"/>
          <w:color w:val="auto"/>
        </w:rPr>
      </w:pPr>
    </w:p>
    <w:p>
      <w:pPr>
        <w:ind w:left="760" w:hanging="378"/>
        <w:spacing w:after="0" w:line="282" w:lineRule="auto"/>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Index Company that becomes bankrupt during the Performance Period will remain an Index Company, but its TSR for the Performance Period will be deemed to equal negative 100% and it will be placed at the bottom of the benchmark set.</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Index Company that is acquired, ceases to be the surviving company in a merger, or ceases to be publicly traded for a reason other than bankruptcy during the Performance Period will in each case be excluded from the Index.</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Index Company that distributes a portion of its business in a spin-off transaction during the Performance Period and that remains publicly traded will be retained in the Index, but the company that is spun off will not be included in the Index.</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MRD Revenue CAGR Adjustments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calculating MRD Revenue CAGR, adjustments or exclusions may be made in the discretion of the Committee as necessary to eliminate the impact(s) of the following items:</w:t>
      </w:r>
    </w:p>
    <w:p>
      <w:pPr>
        <w:ind w:left="1040" w:hanging="283"/>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(i.e., cumulative effect of U.S. GAAP changes);</w:t>
      </w:r>
    </w:p>
    <w:p>
      <w:pPr>
        <w:spacing w:after="0" w:line="9"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that were not contemplated in the initial Performance Goal targets; and</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gain, loss or expense for the performance period related to an exit activity.</w:t>
      </w: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Robins, certify that:</w:t>
      </w:r>
    </w:p>
    <w:p>
      <w:pPr>
        <w:spacing w:after="0" w:line="225"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Adaptive Biotechnologies Corporation;</w:t>
      </w:r>
    </w:p>
    <w:p>
      <w:pPr>
        <w:spacing w:after="0" w:line="117" w:lineRule="exact"/>
        <w:rPr>
          <w:rFonts w:ascii="Times New Roman" w:cs="Times New Roman" w:eastAsia="Times New Roman" w:hAnsi="Times New Roman"/>
          <w:sz w:val="18"/>
          <w:szCs w:val="18"/>
          <w:color w:val="auto"/>
        </w:rPr>
      </w:pPr>
    </w:p>
    <w:p>
      <w:pPr>
        <w:jc w:val="both"/>
        <w:ind w:left="740" w:right="240" w:hanging="358"/>
        <w:spacing w:after="0" w:line="266"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40" w:right="220" w:hanging="358"/>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40" w:right="220" w:hanging="358"/>
        <w:spacing w:after="0" w:line="266"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00" w:right="240" w:hanging="369"/>
        <w:spacing w:after="0" w:line="266"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00" w:right="240" w:hanging="369"/>
        <w:spacing w:after="0" w:line="266"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right="220" w:hanging="369"/>
        <w:spacing w:after="0" w:line="266"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00" w:right="220" w:hanging="369"/>
        <w:spacing w:after="0" w:line="266"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40" w:right="220" w:hanging="358"/>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right="240" w:hanging="369"/>
        <w:spacing w:after="0" w:line="282"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240" w:hanging="369"/>
        <w:spacing w:after="0" w:line="282"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5, 2026</w:t>
            </w:r>
          </w:p>
        </w:tc>
        <w:tc>
          <w:tcPr>
            <w:tcW w:w="24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 Chad Robins</w:t>
            </w:r>
          </w:p>
        </w:tc>
      </w:tr>
      <w:tr>
        <w:trPr>
          <w:trHeight w:val="191"/>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Chad Robins</w:t>
            </w:r>
          </w:p>
        </w:tc>
        <w:tc>
          <w:tcPr>
            <w:tcW w:w="60" w:type="dxa"/>
            <w:vAlign w:val="bottom"/>
          </w:tcPr>
          <w:p>
            <w:pPr>
              <w:spacing w:after="0"/>
              <w:rPr>
                <w:sz w:val="16"/>
                <w:szCs w:val="16"/>
                <w:color w:val="auto"/>
              </w:rPr>
            </w:pPr>
          </w:p>
        </w:tc>
      </w:tr>
      <w:tr>
        <w:trPr>
          <w:trHeight w:val="230"/>
        </w:trPr>
        <w:tc>
          <w:tcPr>
            <w:tcW w:w="35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708"/>
        </w:trPr>
        <w:tc>
          <w:tcPr>
            <w:tcW w:w="35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Piskel, certify that:</w:t>
      </w:r>
    </w:p>
    <w:p>
      <w:pPr>
        <w:spacing w:after="0" w:line="225"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Adaptive Biotechnologies Corporation;</w:t>
      </w:r>
    </w:p>
    <w:p>
      <w:pPr>
        <w:spacing w:after="0" w:line="117" w:lineRule="exact"/>
        <w:rPr>
          <w:rFonts w:ascii="Times New Roman" w:cs="Times New Roman" w:eastAsia="Times New Roman" w:hAnsi="Times New Roman"/>
          <w:sz w:val="18"/>
          <w:szCs w:val="18"/>
          <w:color w:val="auto"/>
        </w:rPr>
      </w:pPr>
    </w:p>
    <w:p>
      <w:pPr>
        <w:jc w:val="both"/>
        <w:ind w:left="740" w:right="240" w:hanging="358"/>
        <w:spacing w:after="0" w:line="266"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40" w:right="220" w:hanging="358"/>
        <w:spacing w:after="0" w:line="282"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40" w:right="220" w:hanging="358"/>
        <w:spacing w:after="0" w:line="266"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00" w:right="240" w:hanging="369"/>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00" w:right="240" w:hanging="369"/>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right="220" w:hanging="369"/>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00" w:right="220" w:hanging="369"/>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40" w:right="220" w:hanging="358"/>
        <w:spacing w:after="0" w:line="282"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right="240" w:hanging="369"/>
        <w:spacing w:after="0" w:line="282"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240" w:hanging="369"/>
        <w:spacing w:after="0" w:line="282"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5, 2026</w:t>
            </w:r>
          </w:p>
        </w:tc>
        <w:tc>
          <w:tcPr>
            <w:tcW w:w="24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 Kyle Piskel</w:t>
            </w:r>
          </w:p>
        </w:tc>
      </w:tr>
      <w:tr>
        <w:trPr>
          <w:trHeight w:val="191"/>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Kyle Piskel</w:t>
            </w:r>
          </w:p>
        </w:tc>
        <w:tc>
          <w:tcPr>
            <w:tcW w:w="60" w:type="dxa"/>
            <w:vAlign w:val="bottom"/>
          </w:tcPr>
          <w:p>
            <w:pPr>
              <w:spacing w:after="0"/>
              <w:rPr>
                <w:sz w:val="16"/>
                <w:szCs w:val="16"/>
                <w:color w:val="auto"/>
              </w:rPr>
            </w:pPr>
          </w:p>
        </w:tc>
      </w:tr>
      <w:tr>
        <w:trPr>
          <w:trHeight w:val="230"/>
        </w:trPr>
        <w:tc>
          <w:tcPr>
            <w:tcW w:w="35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40"/>
        </w:trPr>
        <w:tc>
          <w:tcPr>
            <w:tcW w:w="35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Adaptive Biotechnologies Corporation (the “Company”) on Form 10-Q for the quarterly period ended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4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Chad Robins</w:t>
            </w:r>
          </w:p>
        </w:tc>
      </w:tr>
      <w:tr>
        <w:trPr>
          <w:trHeight w:val="191"/>
        </w:trPr>
        <w:tc>
          <w:tcPr>
            <w:tcW w:w="3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Chad Robins</w:t>
            </w:r>
          </w:p>
        </w:tc>
      </w:tr>
      <w:tr>
        <w:trPr>
          <w:trHeight w:val="229"/>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Adaptive Biotechnologies Corporation (the “Company”) on Form 10-Q for the quarterly period ended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4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Kyle Piskel</w:t>
            </w:r>
          </w:p>
        </w:tc>
      </w:tr>
      <w:tr>
        <w:trPr>
          <w:trHeight w:val="191"/>
        </w:trPr>
        <w:tc>
          <w:tcPr>
            <w:tcW w:w="3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Kyle Piskel</w:t>
            </w:r>
          </w:p>
        </w:tc>
      </w:tr>
      <w:tr>
        <w:trPr>
          <w:trHeight w:val="229"/>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4"/>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upperLetter"/>
      <w:start w:val="1"/>
    </w:lvl>
  </w:abstractNum>
  <w:abstractNum w:abstractNumId="22">
    <w:nsid w:val="7C3DBD3D"/>
    <w:multiLevelType w:val="hybridMultilevel"/>
    <w:lvl w:ilvl="0">
      <w:lvlJc w:val="left"/>
      <w:lvlText w:val="%1."/>
      <w:numFmt w:val="upperLetter"/>
      <w:start w:val="2"/>
    </w:lvl>
  </w:abstractNum>
  <w:abstractNum w:abstractNumId="23">
    <w:nsid w:val="737B8DDC"/>
    <w:multiLevelType w:val="hybridMultilevel"/>
    <w:lvl w:ilvl="0">
      <w:lvlJc w:val="left"/>
      <w:lvlText w:val="%1."/>
      <w:numFmt w:val="upperLetter"/>
      <w:start w:val="3"/>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2"/>
    </w:lvl>
  </w:abstractNum>
  <w:abstractNum w:abstractNumId="27">
    <w:nsid w:val="3006C83E"/>
    <w:multiLevelType w:val="hybridMultilevel"/>
    <w:lvl w:ilvl="0">
      <w:lvlJc w:val="left"/>
      <w:lvlText w:val="%1."/>
      <w:numFmt w:val="upperLetter"/>
      <w:start w:val="4"/>
    </w:lvl>
  </w:abstractNum>
  <w:abstractNum w:abstractNumId="28">
    <w:nsid w:val="614FD4A1"/>
    <w:multiLevelType w:val="hybridMultilevel"/>
    <w:lvl w:ilvl="0">
      <w:lvlJc w:val="left"/>
      <w:lvlText w:val="%1."/>
      <w:numFmt w:val="upperLetter"/>
      <w:start w:val="5"/>
    </w:lvl>
  </w:abstractNum>
  <w:abstractNum w:abstractNumId="29">
    <w:nsid w:val="419AC241"/>
    <w:multiLevelType w:val="hybridMultilevel"/>
    <w:lvl w:ilvl="0">
      <w:lvlJc w:val="left"/>
      <w:lvlText w:val="%1."/>
      <w:numFmt w:val="upperLetter"/>
      <w:start w:val="6"/>
    </w:lvl>
    <w:lvl w:ilvl="1">
      <w:lvlJc w:val="left"/>
      <w:lvlText w:val="%2."/>
      <w:numFmt w:val="decimal"/>
      <w:start w:val="1"/>
    </w:lvl>
  </w:abstractNum>
  <w:abstractNum w:abstractNumId="30">
    <w:nsid w:val="5577F8E1"/>
    <w:multiLevelType w:val="hybridMultilevel"/>
    <w:lvl w:ilvl="0">
      <w:lvlJc w:val="left"/>
      <w:lvlText w:val="%1."/>
      <w:numFmt w:val="upperLetter"/>
      <w:start w:val="7"/>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upperLetter"/>
      <w:start w:val="8"/>
    </w:lvl>
  </w:abstractNum>
  <w:abstractNum w:abstractNumId="33">
    <w:nsid w:val="3804823E"/>
    <w:multiLevelType w:val="hybridMultilevel"/>
    <w:lvl w:ilvl="0">
      <w:lvlJc w:val="left"/>
      <w:lvlText w:val="%1."/>
      <w:numFmt w:val="upperLetter"/>
      <w:start w:val="8"/>
    </w:lvl>
    <w:lvl w:ilvl="1">
      <w:lvlJc w:val="left"/>
      <w:lvlText w:val="•"/>
      <w:numFmt w:val="bullet"/>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jpe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46" Type="http://schemas.openxmlformats.org/officeDocument/2006/relationships/hyperlink" Target="https://www.sec.gov/Archives/edgar/data/1478320/000119312519187427/d27753dex31.htm" TargetMode="External"/><Relationship Id="rId247" Type="http://schemas.openxmlformats.org/officeDocument/2006/relationships/hyperlink" Target="https://www.sec.gov/Archives/edgar/data/1478320/000119312519187427/d27753dex32.htm" TargetMode="External"/><Relationship Id="rId248" Type="http://schemas.openxmlformats.org/officeDocument/2006/relationships/hyperlink" Target="https://www.sec.gov/Archives/edgar/data/1478320/000119312519161447/d70638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2026-05-05T15:40:09Z</dcterms:created>
  <dcterms:modified xsi:type="dcterms:W3CDTF">2026-05-05T15:40:09Z</dcterms:modified>
</cp:coreProperties>
</file>