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PISKEL KYLE</w:t>
              </w:r>
            </w:hyperlink>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8"/>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Adaptive Biotechnologies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ADPT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4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vMerge w:val="continue"/>
          </w:tcPr>
          <w:p>
            <w:pPr>
              <w:spacing w:after="0"/>
              <w:rPr>
                <w:sz w:val="4"/>
                <w:szCs w:val="4"/>
                <w:color w:val="auto"/>
              </w:rPr>
            </w:pPr>
          </w:p>
        </w:tc>
        <w:tc>
          <w:tcPr>
            <w:tcW w:w="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bottom w:val="single" w:sz="8" w:color="0000EE"/>
            </w:tcBorders>
            <w:gridSpan w:val="3"/>
            <w:vMerge w:val="continue"/>
          </w:tcPr>
          <w:p>
            <w:pPr>
              <w:spacing w:after="0"/>
              <w:rPr>
                <w:sz w:val="5"/>
                <w:szCs w:val="5"/>
                <w:color w:val="auto"/>
              </w:rPr>
            </w:pPr>
          </w:p>
        </w:tc>
        <w:tc>
          <w:tcPr>
            <w:tcW w:w="60" w:type="dxa"/>
            <w:vAlign w:val="bottom"/>
            <w:vMerge w:val="restart"/>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gridSpan w:val="3"/>
          </w:tcPr>
          <w:p>
            <w:pPr>
              <w:spacing w:after="0"/>
              <w:rPr>
                <w:sz w:val="4"/>
                <w:szCs w:val="4"/>
                <w:color w:val="auto"/>
              </w:rPr>
            </w:pPr>
          </w:p>
        </w:tc>
        <w:tc>
          <w:tcPr>
            <w:tcW w:w="60" w:type="dxa"/>
            <w:vAlign w:val="bottom"/>
            <w:vMerge w:val="continue"/>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140"/>
              <w:spacing w:after="0" w:line="138" w:lineRule="exact"/>
              <w:rPr>
                <w:sz w:val="20"/>
                <w:szCs w:val="20"/>
                <w:color w:val="auto"/>
              </w:rPr>
            </w:pPr>
            <w:r>
              <w:rPr>
                <w:rFonts w:ascii="Arial" w:cs="Arial" w:eastAsia="Arial" w:hAnsi="Arial"/>
                <w:sz w:val="13"/>
                <w:szCs w:val="13"/>
                <w:color w:val="auto"/>
              </w:rPr>
              <w:t>Officer (give title</w:t>
            </w:r>
          </w:p>
        </w:tc>
        <w:tc>
          <w:tcPr>
            <w:tcW w:w="1760" w:type="dxa"/>
            <w:vAlign w:val="bottom"/>
            <w:gridSpan w:val="4"/>
          </w:tcPr>
          <w:p>
            <w:pPr>
              <w:ind w:left="50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600" w:type="dxa"/>
            <w:vAlign w:val="bottom"/>
            <w:tcBorders>
              <w:top w:val="single" w:sz="8" w:color="EEEEEE"/>
            </w:tcBorders>
          </w:tcPr>
          <w:p>
            <w:pPr>
              <w:spacing w:after="0"/>
              <w:rPr>
                <w:sz w:val="8"/>
                <w:szCs w:val="8"/>
                <w:color w:val="auto"/>
              </w:rPr>
            </w:pPr>
          </w:p>
        </w:tc>
        <w:tc>
          <w:tcPr>
            <w:tcW w:w="1080" w:type="dxa"/>
            <w:vAlign w:val="bottom"/>
            <w:tcBorders>
              <w:top w:val="single" w:sz="8" w:color="EEEEEE"/>
              <w:bottom w:val="single" w:sz="8" w:color="EEEEEE"/>
            </w:tcBorders>
            <w:gridSpan w:val="3"/>
            <w:vMerge w:val="restart"/>
          </w:tcPr>
          <w:p>
            <w:pPr>
              <w:spacing w:after="0"/>
              <w:rPr>
                <w:sz w:val="20"/>
                <w:szCs w:val="20"/>
                <w:color w:val="auto"/>
              </w:rPr>
            </w:pPr>
            <w:r>
              <w:rPr>
                <w:rFonts w:ascii="Arial" w:cs="Arial" w:eastAsia="Arial" w:hAnsi="Arial"/>
                <w:sz w:val="13"/>
                <w:szCs w:val="13"/>
                <w:color w:val="auto"/>
              </w:rPr>
              <w:t>(First)</w:t>
            </w:r>
          </w:p>
        </w:tc>
        <w:tc>
          <w:tcPr>
            <w:tcW w:w="1340" w:type="dxa"/>
            <w:vAlign w:val="bottom"/>
            <w:tcBorders>
              <w:top w:val="single" w:sz="8" w:color="EEEEEE"/>
              <w:bottom w:val="single" w:sz="8" w:color="EEEEEE"/>
            </w:tcBorders>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Chief Financial Officer</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ADAPTIVE BIOTECHNOLOGIES</w:t>
            </w:r>
          </w:p>
        </w:tc>
        <w:tc>
          <w:tcPr>
            <w:tcW w:w="1620" w:type="dxa"/>
            <w:vAlign w:val="bottom"/>
            <w:gridSpan w:val="6"/>
            <w:vMerge w:val="restart"/>
          </w:tcPr>
          <w:p>
            <w:pPr>
              <w:ind w:left="160"/>
              <w:spacing w:after="0"/>
              <w:rPr>
                <w:sz w:val="20"/>
                <w:szCs w:val="20"/>
                <w:color w:val="auto"/>
              </w:rPr>
            </w:pPr>
            <w:r>
              <w:rPr>
                <w:rFonts w:ascii="Times New Roman" w:cs="Times New Roman" w:eastAsia="Times New Roman" w:hAnsi="Times New Roman"/>
                <w:sz w:val="17"/>
                <w:szCs w:val="17"/>
                <w:color w:val="0000FF"/>
              </w:rPr>
              <w:t>05/18/2026</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2"/>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1620" w:type="dxa"/>
            <w:vAlign w:val="bottom"/>
            <w:gridSpan w:val="6"/>
            <w:vMerge w:val="continue"/>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CORPORATION</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1165 EASTLAKE AVENUE EAST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7"/>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2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gridSpan w:val="3"/>
            <w:vMerge w:val="continue"/>
          </w:tcPr>
          <w:p>
            <w:pPr>
              <w:spacing w:after="0"/>
              <w:rPr>
                <w:sz w:val="5"/>
                <w:szCs w:val="5"/>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98109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080" w:type="dxa"/>
            <w:vAlign w:val="bottom"/>
            <w:gridSpan w:val="3"/>
          </w:tcPr>
          <w:p>
            <w:pPr>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700" w:type="dxa"/>
            <w:vAlign w:val="bottom"/>
            <w:tcBorders>
              <w:bottom w:val="single" w:sz="8" w:color="2C2C2C"/>
            </w:tcBorders>
            <w:gridSpan w:val="5"/>
          </w:tcPr>
          <w:p>
            <w:pPr>
              <w:spacing w:after="0"/>
              <w:rPr>
                <w:sz w:val="10"/>
                <w:szCs w:val="10"/>
                <w:color w:val="auto"/>
              </w:rPr>
            </w:pPr>
          </w:p>
        </w:tc>
        <w:tc>
          <w:tcPr>
            <w:tcW w:w="1240" w:type="dxa"/>
            <w:vAlign w:val="bottom"/>
            <w:tcBorders>
              <w:bottom w:val="single" w:sz="8" w:color="2C2C2C"/>
            </w:tcBorders>
            <w:gridSpan w:val="5"/>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9"/>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3,115</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13.04</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256,725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w w:val="94"/>
              </w:rPr>
              <w:t>8. Price of</w:t>
            </w:r>
          </w:p>
        </w:tc>
        <w:tc>
          <w:tcPr>
            <w:tcW w:w="17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4"/>
              </w:rPr>
              <w:t>Derivative</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number of shares required to be sold by the Reporting Person to cover tax withholding obligations in connection with the vesting of RSUs.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Kyle Piskel</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05/20/2026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0662" TargetMode="External"/><Relationship Id="rId14" Type="http://schemas.openxmlformats.org/officeDocument/2006/relationships/hyperlink" Target="http://www.sec.gov/cgi-bin/browse-edgar?action=getcompany&amp;CIK=00014783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2026-05-20T18:16:19Z</dcterms:created>
  <dcterms:modified xsi:type="dcterms:W3CDTF">2026-05-20T18:16:19Z</dcterms:modified>
</cp:coreProperties>
</file>